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body>
    <w:p xmlns:wp14="http://schemas.microsoft.com/office/word/2010/wordml" w:rsidP="4FBD4C82" w14:paraId="0A0A51D1" wp14:textId="77777777" wp14:noSpellErr="1">
      <w:pPr>
        <w:pStyle w:val="Body"/>
        <w:spacing w:after="0" w:afterAutospacing="off"/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b w:val="1"/>
          <w:bCs w:val="1"/>
          <w:sz w:val="22"/>
          <w:szCs w:val="22"/>
        </w:rPr>
        <w:t>ISIT Committee</w:t>
      </w:r>
      <w:r w:rsidRPr="4FBD4C82" w:rsidR="4FBD4C82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Minutes</w:t>
      </w:r>
    </w:p>
    <w:p w:rsidR="4FBD4C82" w:rsidP="4FBD4C82" w:rsidRDefault="4FBD4C82" w14:noSpellErr="1" w14:paraId="4E76FD46" w14:textId="1F8BA65A">
      <w:pPr>
        <w:pStyle w:val="Body"/>
        <w:spacing w:after="0" w:afterAutospacing="off"/>
        <w:rPr>
          <w:rFonts w:ascii="Calibri" w:hAnsi="Calibri" w:eastAsia="Calibri" w:cs="Calibri"/>
          <w:sz w:val="22"/>
          <w:szCs w:val="22"/>
          <w:lang w:val="en-US"/>
        </w:rPr>
      </w:pPr>
    </w:p>
    <w:p xmlns:wp14="http://schemas.microsoft.com/office/word/2010/wordml" w:rsidP="4FBD4C82" w14:paraId="4B3FA354" wp14:textId="52FA8F78" wp14:noSpellErr="1">
      <w:pPr>
        <w:pStyle w:val="Body"/>
        <w:spacing w:after="0" w:afterAutospacing="off"/>
        <w:rPr>
          <w:rFonts w:ascii="Calibri" w:hAnsi="Calibri" w:eastAsia="Calibri" w:cs="Calibri"/>
          <w:sz w:val="22"/>
          <w:szCs w:val="22"/>
          <w:rtl w:val="0"/>
          <w:lang w:val="en-US"/>
        </w:rPr>
      </w:pPr>
      <w:r w:rsidRPr="4FBD4C82" w:rsidR="4FBD4C82">
        <w:rPr>
          <w:rFonts w:ascii="Calibri" w:hAnsi="Calibri" w:eastAsia="Calibri" w:cs="Calibri"/>
          <w:sz w:val="22"/>
          <w:szCs w:val="22"/>
          <w:lang w:val="en-US"/>
        </w:rPr>
        <w:t>April 2</w:t>
      </w:r>
      <w:r w:rsidRPr="4FBD4C82" w:rsidR="4FBD4C82">
        <w:rPr>
          <w:rFonts w:ascii="Calibri" w:hAnsi="Calibri" w:eastAsia="Calibri" w:cs="Calibri"/>
          <w:sz w:val="22"/>
          <w:szCs w:val="22"/>
          <w:lang w:val="en-US"/>
        </w:rPr>
        <w:t>, 201</w:t>
      </w:r>
      <w:r w:rsidRPr="4FBD4C82" w:rsidR="4FBD4C82">
        <w:rPr>
          <w:rFonts w:ascii="Calibri" w:hAnsi="Calibri" w:eastAsia="Calibri" w:cs="Calibri"/>
          <w:sz w:val="22"/>
          <w:szCs w:val="22"/>
          <w:lang w:val="en-US"/>
        </w:rPr>
        <w:t>8</w:t>
      </w:r>
      <w:r w:rsidRPr="4FBD4C82" w:rsidR="4FBD4C82">
        <w:rPr>
          <w:rFonts w:ascii="Calibri" w:hAnsi="Calibri" w:eastAsia="Calibri" w:cs="Calibri"/>
          <w:sz w:val="22"/>
          <w:szCs w:val="22"/>
          <w:lang w:val="en-US"/>
        </w:rPr>
        <w:t xml:space="preserve">  </w:t>
      </w:r>
    </w:p>
    <w:p xmlns:wp14="http://schemas.microsoft.com/office/word/2010/wordml" w:rsidP="4FBD4C82" w14:paraId="7748A18A" wp14:textId="77777777" wp14:noSpellErr="1">
      <w:pPr>
        <w:pStyle w:val="Body"/>
        <w:spacing w:after="0" w:afterAutospacing="off"/>
        <w:rPr>
          <w:rFonts w:ascii="Calibri" w:hAnsi="Calibri" w:eastAsia="Calibri" w:cs="Calibri"/>
          <w:sz w:val="22"/>
          <w:szCs w:val="22"/>
          <w:rtl w:val="0"/>
        </w:rPr>
      </w:pPr>
      <w:r w:rsidRPr="4FBD4C82" w:rsidR="4FBD4C82">
        <w:rPr>
          <w:rFonts w:ascii="Calibri" w:hAnsi="Calibri" w:eastAsia="Calibri" w:cs="Calibri"/>
          <w:sz w:val="22"/>
          <w:szCs w:val="22"/>
        </w:rPr>
        <w:t xml:space="preserve">3:30 </w:t>
      </w:r>
      <w:r w:rsidRPr="4FBD4C82" w:rsidR="4FBD4C82">
        <w:rPr>
          <w:rFonts w:ascii="Calibri" w:hAnsi="Calibri" w:eastAsia="Calibri" w:cs="Calibri"/>
          <w:sz w:val="22"/>
          <w:szCs w:val="22"/>
        </w:rPr>
        <w:t xml:space="preserve">– </w:t>
      </w:r>
      <w:r w:rsidRPr="4FBD4C82" w:rsidR="4FBD4C82">
        <w:rPr>
          <w:rFonts w:ascii="Calibri" w:hAnsi="Calibri" w:eastAsia="Calibri" w:cs="Calibri"/>
          <w:sz w:val="22"/>
          <w:szCs w:val="22"/>
        </w:rPr>
        <w:t xml:space="preserve">5:00pm </w:t>
      </w:r>
    </w:p>
    <w:p w:rsidR="0F0D54C1" w:rsidP="4FBD4C82" w:rsidRDefault="0F0D54C1" w14:paraId="3933B035" w14:textId="36AF145F" w14:noSpellErr="1">
      <w:pPr>
        <w:pStyle w:val="Body"/>
        <w:spacing w:after="0" w:afterAutospacing="off"/>
        <w:rPr>
          <w:rFonts w:ascii="Calibri" w:hAnsi="Calibri" w:eastAsia="Calibri" w:cs="Calibri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sz w:val="22"/>
          <w:szCs w:val="22"/>
          <w:lang w:val="en-US"/>
        </w:rPr>
        <w:t>Collins Conference Center</w:t>
      </w:r>
    </w:p>
    <w:p w:rsidR="4FBD4C82" w:rsidP="4FBD4C82" w:rsidRDefault="4FBD4C82" w14:noSpellErr="1" w14:paraId="1CC48235" w14:textId="777A9426">
      <w:pPr>
        <w:pStyle w:val="Body"/>
        <w:spacing w:after="0" w:afterAutospacing="off"/>
        <w:rPr>
          <w:rFonts w:ascii="Calibri" w:hAnsi="Calibri" w:eastAsia="Calibri" w:cs="Calibri"/>
          <w:sz w:val="22"/>
          <w:szCs w:val="22"/>
          <w:lang w:val="en-US"/>
        </w:rPr>
      </w:pPr>
    </w:p>
    <w:p w:rsidR="0F0D54C1" w:rsidP="4FBD4C82" w:rsidRDefault="0F0D54C1" w14:paraId="4042E249" w14:textId="76E99CE9" w14:noSpellErr="1">
      <w:pPr>
        <w:pStyle w:val="Body"/>
        <w:spacing w:after="0" w:afterAutospacing="off"/>
        <w:rPr>
          <w:rFonts w:ascii="Calibri" w:hAnsi="Calibri" w:eastAsia="Calibri" w:cs="Calibri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sz w:val="22"/>
          <w:szCs w:val="22"/>
          <w:lang w:val="en-US"/>
        </w:rPr>
        <w:t>Note taker:</w:t>
      </w:r>
      <w:r w:rsidRPr="4FBD4C82" w:rsidR="4FBD4C82">
        <w:rPr>
          <w:rFonts w:ascii="Calibri" w:hAnsi="Calibri" w:eastAsia="Calibri" w:cs="Calibri"/>
          <w:sz w:val="22"/>
          <w:szCs w:val="22"/>
          <w:lang w:val="en-US"/>
        </w:rPr>
        <w:t xml:space="preserve"> Tim Heasley</w:t>
      </w:r>
    </w:p>
    <w:p w:rsidR="4FBD4C82" w:rsidP="4FBD4C82" w:rsidRDefault="4FBD4C82" w14:noSpellErr="1" w14:paraId="45A69F95" w14:textId="4BF80BF3">
      <w:pPr>
        <w:pStyle w:val="Body"/>
        <w:spacing w:after="0" w:afterAutospacing="off"/>
        <w:rPr>
          <w:rFonts w:ascii="Calibri" w:hAnsi="Calibri" w:eastAsia="Calibri" w:cs="Calibri"/>
          <w:sz w:val="22"/>
          <w:szCs w:val="22"/>
          <w:lang w:val="en-US"/>
        </w:rPr>
      </w:pPr>
    </w:p>
    <w:p xmlns:wp14="http://schemas.microsoft.com/office/word/2010/wordml" w:rsidP="4FBD4C82" w14:paraId="672A6659" wp14:textId="1F76440D">
      <w:pPr>
        <w:pStyle w:val="Body"/>
        <w:spacing w:after="0" w:afterAutospacing="off"/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</w:pPr>
      <w:proofErr w:type="spellStart"/>
      <w:r w:rsidRPr="4FBD4C82" w:rsidR="4FBD4C82">
        <w:rPr>
          <w:rFonts w:ascii="Calibri" w:hAnsi="Calibri" w:eastAsia="Calibri" w:cs="Calibri"/>
          <w:sz w:val="22"/>
          <w:szCs w:val="22"/>
          <w:lang w:val="nl-NL"/>
        </w:rPr>
        <w:t>Attendees</w:t>
      </w:r>
      <w:proofErr w:type="spellEnd"/>
      <w:r w:rsidRPr="4FBD4C82" w:rsidR="4FBD4C82">
        <w:rPr>
          <w:rFonts w:ascii="Calibri" w:hAnsi="Calibri" w:eastAsia="Calibri" w:cs="Calibri"/>
          <w:sz w:val="22"/>
          <w:szCs w:val="22"/>
          <w:lang w:val="nl-NL"/>
        </w:rPr>
        <w:t>:</w:t>
      </w:r>
      <w:r w:rsidRPr="4FBD4C82" w:rsidR="4FBD4C82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Stephanie Baltazar, </w:t>
      </w:r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Wade Ellis, Tim Heasley, Richard Miles, Kurt </w:t>
      </w:r>
      <w:proofErr w:type="spellStart"/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>Klopstein</w:t>
      </w:r>
      <w:proofErr w:type="spellEnd"/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, John </w:t>
      </w:r>
      <w:proofErr w:type="spellStart"/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>Giertz</w:t>
      </w:r>
      <w:proofErr w:type="spellEnd"/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, Greg Cluff, Tracy Lovelace, Sarah </w:t>
      </w:r>
      <w:proofErr w:type="spellStart"/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>Villse</w:t>
      </w:r>
      <w:r w:rsidRPr="4FBD4C82" w:rsidR="4FBD4C82">
        <w:rPr>
          <w:rFonts w:ascii="Calibri" w:hAnsi="Calibri" w:eastAsia="Calibri" w:cs="Calibri"/>
          <w:b w:val="0"/>
          <w:bCs w:val="0"/>
          <w:noProof w:val="0"/>
          <w:color w:val="6A6A6A"/>
          <w:sz w:val="22"/>
          <w:szCs w:val="22"/>
          <w:lang w:val="en-US"/>
        </w:rPr>
        <w:t>ñ</w:t>
      </w:r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>or</w:t>
      </w:r>
      <w:proofErr w:type="spellEnd"/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, </w:t>
      </w:r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Linda McLaughlin, Michael Westwood, Kristin Rabe, Richard Marquez, Todd Coston, </w:t>
      </w:r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Judy Ahl, Cindy Huddle, Matt Jones, </w:t>
      </w:r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 xml:space="preserve">Michael </w:t>
      </w:r>
      <w:proofErr w:type="spellStart"/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>McClenic</w:t>
      </w:r>
      <w:proofErr w:type="spellEnd"/>
      <w:r w:rsidRPr="4FBD4C82" w:rsidR="4FBD4C82">
        <w:rPr>
          <w:rFonts w:ascii="Calibri" w:hAnsi="Calibri" w:eastAsia="Calibri" w:cs="Calibri"/>
          <w:noProof w:val="0"/>
          <w:color w:val="333333"/>
          <w:sz w:val="22"/>
          <w:szCs w:val="22"/>
          <w:lang w:val="en-US"/>
        </w:rPr>
        <w:t>, Adel Shafik</w:t>
      </w:r>
    </w:p>
    <w:p w:rsidR="4FBD4C82" w:rsidP="4FBD4C82" w:rsidRDefault="4FBD4C82" w14:paraId="3D863B11" w14:textId="5B82F003">
      <w:pPr>
        <w:pStyle w:val="Body"/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4FBD4C82" w14:paraId="22BCC025" wp14:textId="77777777" wp14:noSpellErr="1">
      <w:pPr>
        <w:pStyle w:val="Body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BD4C82" w:rsidR="4FBD4C82">
        <w:rPr>
          <w:rFonts w:ascii="Calibri" w:hAnsi="Calibri" w:eastAsia="Calibri" w:cs="Calibri"/>
          <w:b w:val="1"/>
          <w:bCs w:val="1"/>
          <w:sz w:val="22"/>
          <w:szCs w:val="22"/>
        </w:rPr>
        <w:t>Agenda</w:t>
      </w:r>
    </w:p>
    <w:p w:rsidR="0F0D54C1" w:rsidP="4FBD4C82" w:rsidRDefault="0F0D54C1" w14:paraId="61D597B4" w14:textId="28B21D26" w14:noSpellErr="1">
      <w:p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F0D54C1" w:rsidP="4FBD4C82" w:rsidRDefault="0F0D54C1" w14:paraId="4BC514B3" w14:textId="172445D5">
      <w:pPr>
        <w:pStyle w:val="List Paragraph"/>
        <w:numPr>
          <w:ilvl w:val="0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Approval of Minutes from March 5th - ALL (5 min)  (ISIT_2017-18_meeting </w:t>
      </w: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notes_March</w:t>
      </w:r>
      <w:proofErr w:type="spellEnd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5_unapproved.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docx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)  </w:t>
      </w:r>
    </w:p>
    <w:p w:rsidR="0F0D54C1" w:rsidP="4FBD4C82" w:rsidRDefault="0F0D54C1" w14:paraId="42769FE3" w14:textId="5F29FC4F" w14:noSpellErr="1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000000" w:themeColor="text1" w:themeTint="FF" w:themeShade="FF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Motion was made to approve minutes and was seconded. Minutes were approved.</w:t>
      </w:r>
    </w:p>
    <w:p w:rsidR="0F0D54C1" w:rsidP="4FBD4C82" w:rsidRDefault="0F0D54C1" w14:paraId="217C7862" w14:textId="7F75F683" w14:noSpellErr="1">
      <w:pPr>
        <w:pStyle w:val="List Paragraph"/>
        <w:numPr>
          <w:ilvl w:val="0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Student Survey Summary – Martin and Westwood (15 min) (ISIT_2017-18_Student tech survey_summary.docx)</w:t>
      </w:r>
    </w:p>
    <w:p w:rsidR="0F0D54C1" w:rsidP="4FBD4C82" w:rsidRDefault="0F0D54C1" w14:paraId="37A1106F" w14:noSpellErr="1" w14:textId="66096DD1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Results of the student survey were reported on.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Overarching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hemes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of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survey included:</w:t>
      </w:r>
    </w:p>
    <w:p w:rsidR="0F0D54C1" w:rsidP="4FBD4C82" w:rsidRDefault="0F0D54C1" w14:paraId="32220ABD" w14:noSpellErr="1" w14:textId="021FD1B4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Negative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feedback (as anticipated) about the campus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Wi-Fi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network</w:t>
      </w:r>
    </w:p>
    <w:p w:rsidR="0F0D54C1" w:rsidP="4FBD4C82" w:rsidRDefault="0F0D54C1" w14:paraId="7688F68D" w14:noSpellErr="1" w14:textId="3C6045A1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Complaints of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out of date computer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eq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uipment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labs</w:t>
      </w:r>
    </w:p>
    <w:p w:rsidR="0F0D54C1" w:rsidP="4FBD4C82" w:rsidRDefault="0F0D54C1" w14:paraId="3509FCFA" w14:noSpellErr="1" w14:textId="683B8F3C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Positive feedback of C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anvas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 Students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seem to like it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but wish 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hat instructors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used i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more consistently</w:t>
      </w:r>
    </w:p>
    <w:p w:rsidR="0F0D54C1" w:rsidP="4FBD4C82" w:rsidRDefault="0F0D54C1" w14:paraId="2CFF73B1" w14:noSpellErr="1" w14:textId="411A96C7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Negative feedback on the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pay for print system</w:t>
      </w:r>
    </w:p>
    <w:p w:rsidR="0F0D54C1" w:rsidP="4FBD4C82" w:rsidRDefault="0F0D54C1" w14:noSpellErr="1" w14:paraId="408B882D" w14:textId="00C3873C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Complaints about the hassle of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logging in to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the various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systems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Students requested use of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username vs. full email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F0D54C1" w:rsidP="4FBD4C82" w:rsidRDefault="0F0D54C1" w14:paraId="4AC582AB" w14:noSpellErr="1" w14:textId="41C8E357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need for more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places to charge their own tech</w:t>
      </w:r>
    </w:p>
    <w:p w:rsidR="0F0D54C1" w:rsidP="4FBD4C82" w:rsidRDefault="0F0D54C1" w14:paraId="4C67B961" w14:noSpellErr="1" w14:textId="5F8841CE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Todd had updates on where we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stand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with each of these items 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pointed out that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some concerns will be addressed with Measure J funding.</w:t>
      </w:r>
    </w:p>
    <w:p w:rsidR="0F0D54C1" w:rsidP="4FBD4C82" w:rsidRDefault="0F0D54C1" w14:paraId="6AB15DF0" w14:textId="4793AC19" w14:noSpellErr="1">
      <w:pPr>
        <w:pStyle w:val="List Paragraph"/>
        <w:numPr>
          <w:ilvl w:val="0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Employee Survey – All (5 min) Need sub-committee to summarize.</w:t>
      </w:r>
    </w:p>
    <w:p w:rsidR="0F0D54C1" w:rsidP="4FBD4C82" w:rsidRDefault="0F0D54C1" w14:paraId="0ED5607B" w14:noSpellErr="1" w14:textId="04FF8B44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Employee survey r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esults are in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,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committee is needed to look for themes as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was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done with the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student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survey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F0D54C1" w:rsidP="4FBD4C82" w:rsidRDefault="0F0D54C1" w14:paraId="11FD3754" w14:noSpellErr="1" w14:textId="7C8AB941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Richard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Marquez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and Erin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Miller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will complete this process and report back to the full committee.</w:t>
      </w:r>
    </w:p>
    <w:p w:rsidR="0F0D54C1" w:rsidP="4FBD4C82" w:rsidRDefault="0F0D54C1" w14:paraId="4C9EBFBA" w14:noSpellErr="1" w14:textId="7F182F71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It was noted that there are about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150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responses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to this survey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compared to 600+ from studen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 survey.</w:t>
      </w:r>
    </w:p>
    <w:p w:rsidR="0F0D54C1" w:rsidP="4FBD4C82" w:rsidRDefault="0F0D54C1" w14:paraId="1A1EB5C2" w14:textId="0D9D5781" w14:noSpellErr="1">
      <w:pPr>
        <w:pStyle w:val="List Paragraph"/>
        <w:numPr>
          <w:ilvl w:val="0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Accreditation Standard III.C.4 – Coston (10 min) Review and discuss. (Standard III_C_4.docx)</w:t>
      </w:r>
    </w:p>
    <w:p w:rsidR="0F0D54C1" w:rsidP="4FBD4C82" w:rsidRDefault="0F0D54C1" w14:paraId="3202CD80" w14:noSpellErr="1" w14:textId="5AB447F1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Todd Coston reminded the committee that a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 any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time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during the accreditation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process, ISIT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committee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members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may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be questioned about the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standards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F0D54C1" w:rsidP="4FBD4C82" w:rsidRDefault="0F0D54C1" w14:noSpellErr="1" w14:paraId="5D21EA04" w14:textId="6C1EDDD3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After reviewing the standard, various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ev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idence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how we are meeting the standard was discussed including:</w:t>
      </w:r>
    </w:p>
    <w:p w:rsidR="0F0D54C1" w:rsidP="4FBD4C82" w:rsidRDefault="0F0D54C1" w14:paraId="49557D75" w14:noSpellErr="1" w14:textId="2F3743D7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Ongoing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Canvas trainings for instructors</w:t>
      </w:r>
    </w:p>
    <w:p w:rsidR="0F0D54C1" w:rsidP="4FBD4C82" w:rsidRDefault="0F0D54C1" w14:paraId="5FD27AEC" w14:noSpellErr="1" w14:textId="4B3F39D3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FLEX week trainings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 These p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rofessional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d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evelopment opportunities are listed on the BC website and can be pointed to as evidence of trainings</w:t>
      </w:r>
    </w:p>
    <w:p w:rsidR="0F0D54C1" w:rsidP="4FBD4C82" w:rsidRDefault="0F0D54C1" w14:paraId="784912CC" w14:textId="58B80E71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Students are trained through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 variety of resources such as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Summer Bridge,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easy to find l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inks on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their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desktop with how-</w:t>
      </w: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tos</w:t>
      </w:r>
      <w:proofErr w:type="spellEnd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, etc.</w:t>
      </w:r>
    </w:p>
    <w:p w:rsidR="0F0D54C1" w:rsidP="4FBD4C82" w:rsidRDefault="0F0D54C1" w14:paraId="2E7E5B97" w14:textId="3A8E11E3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There are 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rainings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that accompany big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updates of systems such as Banner, </w:t>
      </w: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eLumen</w:t>
      </w:r>
      <w:proofErr w:type="spellEnd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, Starfish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F0D54C1" w:rsidP="4FBD4C82" w:rsidRDefault="0F0D54C1" w14:paraId="755987C7" w14:noSpellErr="1" w14:textId="16C5627D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The committee was reminded that evidence for all standards is being shared back to the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accreditation report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editor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Nick Stroebel, then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to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 second editor for further consolidation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F0D54C1" w:rsidP="4FBD4C82" w:rsidRDefault="0F0D54C1" w14:paraId="52388BF5" w14:textId="463B326E">
      <w:pPr>
        <w:pStyle w:val="List Paragraph"/>
        <w:numPr>
          <w:ilvl w:val="0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Academic Technology General Updates – Moseley (10 min) a. </w:t>
      </w: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eLumen</w:t>
      </w:r>
      <w:proofErr w:type="spellEnd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Update b. Canvas Update c. Other</w:t>
      </w:r>
    </w:p>
    <w:p w:rsidR="0F0D54C1" w:rsidP="4FBD4C82" w:rsidRDefault="0F0D54C1" w14:paraId="30841A46" w14:noSpellErr="1" w14:textId="7238CE5D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Tracy Lovelace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spoke to m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ajor problems with Canvas on Friday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that were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related to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import process in Banner. People “lost their classes”, but the reimport was successful and everything was back up in the afternoon.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She encouraged people with any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further issues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contact her.</w:t>
      </w:r>
    </w:p>
    <w:p w:rsidR="0F0D54C1" w:rsidP="4FBD4C82" w:rsidRDefault="0F0D54C1" w14:paraId="03BBA3AE" w14:textId="6125E256" w14:noSpellErr="1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Canvas for summer/fall should be accessible</w:t>
      </w:r>
    </w:p>
    <w:p w:rsidR="0F0D54C1" w:rsidP="4FBD4C82" w:rsidRDefault="0F0D54C1" w14:paraId="7675AFCD" w14:textId="07B177C0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No </w:t>
      </w: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eLumen</w:t>
      </w:r>
      <w:proofErr w:type="spellEnd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updates, but there was a question of whether there would be </w:t>
      </w: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eLumen</w:t>
      </w:r>
      <w:proofErr w:type="spellEnd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training in the fall. </w:t>
      </w:r>
    </w:p>
    <w:p w:rsidR="0F0D54C1" w:rsidP="4FBD4C82" w:rsidRDefault="0F0D54C1" w14:paraId="4FF22755" w14:textId="0C0C9DCD" w14:noSpellErr="1">
      <w:pPr>
        <w:pStyle w:val="List Paragraph"/>
        <w:numPr>
          <w:ilvl w:val="0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Technology Support Services General Updates – (10 min)  </w:t>
      </w:r>
    </w:p>
    <w:p w:rsidR="0F0D54C1" w:rsidP="4FBD4C82" w:rsidRDefault="0F0D54C1" w14:paraId="7CBF5967" w14:textId="7BD04E48" w14:noSpellErr="1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DO IT Website – Coston</w:t>
      </w:r>
    </w:p>
    <w:p w:rsidR="0F0D54C1" w:rsidP="4FBD4C82" w:rsidRDefault="0F0D54C1" w14:paraId="2482D92D" w14:textId="6DC4A0E0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it.kccd.</w:t>
      </w: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edu</w:t>
      </w:r>
      <w:proofErr w:type="spellEnd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was created to create some transparency at the district level in regards to IT including status reports, links to maintenance schedule, etc.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Some areas of the site include:</w:t>
      </w:r>
    </w:p>
    <w:p w:rsidR="0F0D54C1" w:rsidP="4FBD4C82" w:rsidRDefault="0F0D54C1" w14:paraId="1D6C3E63" w14:noSpellErr="1" w14:textId="18EDBD91">
      <w:pPr>
        <w:pStyle w:val="List Paragraph"/>
        <w:numPr>
          <w:ilvl w:val="3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Projects.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Users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can see the details, people, timelines, etc. about district IT projects.</w:t>
      </w:r>
    </w:p>
    <w:p w:rsidR="0F0D54C1" w:rsidP="4FBD4C82" w:rsidRDefault="0F0D54C1" w14:paraId="7586789D" w14:textId="4C4244BB" w14:noSpellErr="1">
      <w:pPr>
        <w:pStyle w:val="List Paragraph"/>
        <w:numPr>
          <w:ilvl w:val="3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Portfolio. Gives an overview of the various systems that the district supports.</w:t>
      </w:r>
    </w:p>
    <w:p w:rsidR="0F0D54C1" w:rsidP="4FBD4C82" w:rsidRDefault="0F0D54C1" w14:paraId="73FB1DD2" w14:noSpellErr="1" w14:textId="15B11F84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The site is p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assword protected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due to the nature of the information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accessible from out of our network.</w:t>
      </w:r>
    </w:p>
    <w:p w:rsidR="4FBD4C82" w:rsidP="4FBD4C82" w:rsidRDefault="4FBD4C82" w14:noSpellErr="1" w14:paraId="456071EC" w14:textId="5725DB23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There is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also a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n alternate access point when scheduled maintenance i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occurring.</w:t>
      </w:r>
    </w:p>
    <w:p w:rsidR="0F0D54C1" w:rsidP="4FBD4C82" w:rsidRDefault="0F0D54C1" w14:paraId="1200CED9" w14:textId="6D3208D5" w14:noSpellErr="1">
      <w:pPr>
        <w:pStyle w:val="List Paragraph"/>
        <w:numPr>
          <w:ilvl w:val="0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SD Report – Coston (10 min)  (SD_S2018_ISIT_FINAL.xlsx)</w:t>
      </w:r>
    </w:p>
    <w:p w:rsidR="0F0D54C1" w:rsidP="4FBD4C82" w:rsidRDefault="0F0D54C1" w14:paraId="04A92C87" w14:noSpellErr="1" w14:textId="74706F62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Todd Coston presented the 2018 Strategic Directions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report for 2018. This is the l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ast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report of current strategic initiatives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, and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there will be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new initiatives in the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fall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as we begin a new 3-year cycle.</w:t>
      </w:r>
    </w:p>
    <w:p w:rsidR="0F0D54C1" w:rsidP="4FBD4C82" w:rsidRDefault="0F0D54C1" w14:paraId="50C7F6B1" w14:noSpellErr="1" w14:textId="6633D85A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Todd walked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the committee 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hrough each initiative and reviewed the evidence column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It was noted that some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initiatives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are driven by funding and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/or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cannot be completed in the length of the cycle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Some items are partially complete because they reach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cross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multiple areas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F0D54C1" w:rsidP="4FBD4C82" w:rsidRDefault="0F0D54C1" w14:paraId="0A504953" w14:noSpellErr="1" w14:textId="5808B1D2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4 goals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are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listed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, and a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ll are marked as completed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F0D54C1" w:rsidP="4FBD4C82" w:rsidRDefault="0F0D54C1" w14:paraId="6729E7AD" w14:noSpellErr="1" w14:textId="5F2AEC72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Questions/suggestions were welcomed before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the report is submitted for publishing.</w:t>
      </w:r>
    </w:p>
    <w:p w:rsidR="0F0D54C1" w:rsidP="4FBD4C82" w:rsidRDefault="0F0D54C1" w14:paraId="0A3915D5" w14:noSpellErr="1" w14:textId="4F6C69FC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One question raised during the review of these initiatives was whether or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not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we know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percentage of instructors that are using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Canvas.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Tracy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Lovelace responded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that while we did not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 report could be run to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determine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that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It was suggested that outreach may be needed to address the student survey feedback relating to inconsistent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instructor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usage of Canvas.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 </w:t>
      </w:r>
    </w:p>
    <w:p w:rsidR="0F0D54C1" w:rsidP="4FBD4C82" w:rsidRDefault="0F0D54C1" w14:paraId="036ECA06" w14:textId="1A081A27" w14:noSpellErr="1">
      <w:pPr>
        <w:pStyle w:val="List Paragraph"/>
        <w:numPr>
          <w:ilvl w:val="0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Accessibility Presentation – Goldstein – (15 min) (ISIT_2017-18_CC Accessibility Audit.pdf)</w:t>
      </w:r>
    </w:p>
    <w:p w:rsidR="4FBD4C82" w:rsidP="4FBD4C82" w:rsidRDefault="4FBD4C82" w14:noSpellErr="1" w14:paraId="0369316F" w14:textId="344D80C2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Terri Goldstein provided the committee with updates expanding on her last report regarding the state accessibility audit. Several expectation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the auditors along with implications for BC were presented. Most topics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involved the need to develop processes for meeting expectations as well as documentation/tracking of how the expectations are being met.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The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following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topics were addressed:</w:t>
      </w:r>
    </w:p>
    <w:p w:rsidR="0F0D54C1" w:rsidP="4FBD4C82" w:rsidRDefault="0F0D54C1" w14:paraId="4C05FF53" w14:textId="7B340615" w14:noSpellErr="1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Timeliness DSPS Alternative Media Services</w:t>
      </w:r>
    </w:p>
    <w:p w:rsidR="0F0D54C1" w:rsidP="4FBD4C82" w:rsidRDefault="0F0D54C1" w14:paraId="6849A62B" w14:textId="074A6779" w14:noSpellErr="1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 Website accessibility</w:t>
      </w:r>
    </w:p>
    <w:p w:rsidR="0F0D54C1" w:rsidP="4FBD4C82" w:rsidRDefault="0F0D54C1" w14:paraId="511598D4" w14:noSpellErr="1" w14:textId="52F4D674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Accessibility of i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nstructional materials</w:t>
      </w:r>
    </w:p>
    <w:p w:rsidR="0F0D54C1" w:rsidP="4FBD4C82" w:rsidRDefault="0F0D54C1" w14:paraId="34EE4F06" w14:textId="64D2F832" w14:noSpellErr="1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 Faculty training on accessibility</w:t>
      </w:r>
    </w:p>
    <w:p w:rsidR="0F0D54C1" w:rsidP="4FBD4C82" w:rsidRDefault="0F0D54C1" w14:paraId="5AB33C30" w14:noSpellErr="1" w14:textId="3C7738E9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Complaints disaggregat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ed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by type</w:t>
      </w:r>
    </w:p>
    <w:p w:rsidR="0F0D54C1" w:rsidP="4FBD4C82" w:rsidRDefault="0F0D54C1" w14:noSpellErr="1" w14:paraId="4E364C69" w14:textId="61FC4E44">
      <w:pPr>
        <w:pStyle w:val="List Paragraph"/>
        <w:numPr>
          <w:ilvl w:val="2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IT Master Plan upgrade and replacement</w:t>
      </w:r>
      <w:proofErr w:type="spellEnd"/>
    </w:p>
    <w:p w:rsidR="0F0D54C1" w:rsidP="4FBD4C82" w:rsidRDefault="0F0D54C1" w14:paraId="7556EBED" w14:textId="0EB87DB9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000000" w:themeColor="text1" w:themeTint="FF" w:themeShade="FF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John </w:t>
      </w:r>
      <w:proofErr w:type="spellStart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Gie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rtz</w:t>
      </w:r>
      <w:proofErr w:type="spellEnd"/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asked about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Canvas’ accessibility checker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followed by some discussion of the tool. It was noted that the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echnology is there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but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education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may be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needed via FLEX training.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Todd Coston pointed out that the a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udit may trigger changes in Canvas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other services in order to stay in compliance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for their customers.</w:t>
      </w:r>
    </w:p>
    <w:p w:rsidR="0F0D54C1" w:rsidP="4FBD4C82" w:rsidRDefault="0F0D54C1" w14:paraId="5B6F2771" w14:noSpellErr="1" w14:textId="00F52E3D">
      <w:pPr>
        <w:pStyle w:val="List Paragraph"/>
        <w:numPr>
          <w:ilvl w:val="1"/>
          <w:numId w:val="5"/>
        </w:numPr>
        <w:spacing w:after="0" w:afterAutospacing="off"/>
        <w:rPr>
          <w:noProof w:val="0"/>
          <w:color w:val="auto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Terri Goldstein announced an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upcom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ing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ll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-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day workshop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April 17-18)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on creating accessible fillable forms, documents, etc. Info will be sent out to the campus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xmlns:wp14="http://schemas.microsoft.com/office/word/2010/wordml" w:rsidP="4FBD4C82" w14:paraId="724A45A5" wp14:noSpellErr="1" wp14:textId="6ECB5626">
      <w:pPr>
        <w:pStyle w:val="List Paragraph"/>
        <w:numPr>
          <w:ilvl w:val="0"/>
          <w:numId w:val="5"/>
        </w:numPr>
        <w:spacing w:after="0" w:afterAutospacing="off" w:line="240" w:lineRule="auto"/>
        <w:rPr>
          <w:noProof w:val="0"/>
          <w:color w:val="000000" w:themeColor="text1" w:themeTint="FF" w:themeShade="FF"/>
          <w:sz w:val="22"/>
          <w:szCs w:val="22"/>
          <w:lang w:val="en-US"/>
        </w:rPr>
      </w:pP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Next meeting: </w:t>
      </w:r>
      <w:r w:rsidRPr="4FBD4C82" w:rsidR="4FBD4C82">
        <w:rPr>
          <w:rFonts w:ascii="Calibri" w:hAnsi="Calibri" w:eastAsia="Calibri" w:cs="Calibri"/>
          <w:noProof w:val="0"/>
          <w:sz w:val="22"/>
          <w:szCs w:val="22"/>
          <w:lang w:val="en-US"/>
        </w:rPr>
        <w:t>April 30 3:30-5:00p Collins Conference Center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0E27B00A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0D0B940D" wp14:textId="77777777"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."/>
      <w:lvlJc w:val="left"/>
      <w:pPr>
        <w:ind w:left="2520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 mc:Ignorable="w14 w15">
  <w:proofState w:spelling="clean" w:grammar="dirty"/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EC80AD"/>
  <w15:docId w15:val="{41dcce04-8e3d-420a-a1bd-c1384e75d9d1}"/>
  <w:rsids>
    <w:rsidRoot w:val="0F0D54C1"/>
    <w:rsid w:val="0F0D54C1"/>
    <w:rsid w:val="4FBD4C82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1.0">
    <w:name w:val="Imported Style 1.0"/>
    <w:pPr>
      <w:numPr>
        <w:numId w:val="3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numbering" Target="numbering.xml" Id="rId6" /><Relationship Type="http://schemas.openxmlformats.org/officeDocument/2006/relationships/theme" Target="theme/theme1.xml" Id="rId7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Tim Heasley</lastModifiedBy>
  <dcterms:modified xsi:type="dcterms:W3CDTF">2018-04-03T23:05:14.8712951Z</dcterms:modified>
</coreProperties>
</file>