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755C6697" w:rsidR="00D84AB9" w:rsidRPr="004D7273" w:rsidRDefault="0065698A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5, 2024</w:t>
      </w:r>
    </w:p>
    <w:p w14:paraId="058F8866" w14:textId="7B1EE371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5EB7">
        <w:rPr>
          <w:rFonts w:ascii="Times New Roman" w:hAnsi="Times New Roman" w:cs="Times New Roman"/>
          <w:sz w:val="24"/>
          <w:szCs w:val="24"/>
        </w:rPr>
        <w:t>12:00</w:t>
      </w:r>
      <w:r w:rsidR="001362B9" w:rsidRPr="005A5EB7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5A5EB7">
        <w:rPr>
          <w:rFonts w:ascii="Times New Roman" w:hAnsi="Times New Roman" w:cs="Times New Roman"/>
          <w:sz w:val="24"/>
          <w:szCs w:val="24"/>
        </w:rPr>
        <w:t xml:space="preserve"> </w:t>
      </w:r>
      <w:r w:rsidR="00D21EFD">
        <w:rPr>
          <w:rFonts w:ascii="Times New Roman" w:hAnsi="Times New Roman" w:cs="Times New Roman"/>
          <w:sz w:val="24"/>
          <w:szCs w:val="24"/>
        </w:rPr>
        <w:t>L160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2791BD2A" w:rsidR="00D71CED" w:rsidRPr="006F67B5" w:rsidRDefault="00BF559E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1D12BA2B" w:rsidR="00D71CED" w:rsidRPr="006F67B5" w:rsidRDefault="00BF559E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Marisa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41B23341" w:rsidR="00D71CED" w:rsidRPr="006F67B5" w:rsidRDefault="00E82077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Ben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25C4500B" w:rsidR="00D71CED" w:rsidRPr="006F67B5" w:rsidRDefault="00E82077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Laura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74B844C6" w:rsidR="006F67B5" w:rsidRPr="006F67B5" w:rsidRDefault="00E82077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727CC927" w:rsidR="006F67B5" w:rsidRPr="006F67B5" w:rsidRDefault="00BF559E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 xml:space="preserve">Brandon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773F7934" w:rsidR="006F67B5" w:rsidRPr="006F67B5" w:rsidRDefault="00E82077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Kimberly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1FEBF648" w:rsidR="006F67B5" w:rsidRPr="006F67B5" w:rsidRDefault="00BF559E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566A917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65698A">
              <w:rPr>
                <w:rFonts w:ascii="Times New Roman" w:hAnsi="Times New Roman" w:cs="Times New Roman"/>
                <w:b/>
                <w:bCs/>
              </w:rPr>
              <w:t>Tyler Thom</w:t>
            </w:r>
            <w:r w:rsidR="009D5E35">
              <w:rPr>
                <w:rFonts w:ascii="Times New Roman" w:hAnsi="Times New Roman" w:cs="Times New Roman"/>
                <w:b/>
                <w:bCs/>
              </w:rPr>
              <w:t>p</w:t>
            </w:r>
            <w:r w:rsidR="0065698A">
              <w:rPr>
                <w:rFonts w:ascii="Times New Roman" w:hAnsi="Times New Roman" w:cs="Times New Roman"/>
                <w:b/>
                <w:bCs/>
              </w:rPr>
              <w:t>son</w:t>
            </w:r>
          </w:p>
        </w:tc>
        <w:tc>
          <w:tcPr>
            <w:tcW w:w="1978" w:type="dxa"/>
          </w:tcPr>
          <w:p w14:paraId="5C5DAFC1" w14:textId="14E01CA9" w:rsidR="006F67B5" w:rsidRPr="006F67B5" w:rsidRDefault="00E82077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Rony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35DE743A" w:rsidR="006F67B5" w:rsidRPr="006F67B5" w:rsidRDefault="00BF559E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734EC38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Anna Beltran</w:t>
            </w:r>
          </w:p>
        </w:tc>
        <w:tc>
          <w:tcPr>
            <w:tcW w:w="1978" w:type="dxa"/>
          </w:tcPr>
          <w:p w14:paraId="5D4A4F80" w14:textId="68D71FCD" w:rsidR="006F67B5" w:rsidRPr="006F67B5" w:rsidRDefault="00BF559E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Colaw</w:t>
            </w:r>
          </w:p>
        </w:tc>
        <w:tc>
          <w:tcPr>
            <w:tcW w:w="1978" w:type="dxa"/>
          </w:tcPr>
          <w:p w14:paraId="202FE073" w14:textId="3B20FCE8" w:rsidR="006F67B5" w:rsidRPr="006F67B5" w:rsidRDefault="00E82077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James </w:t>
            </w:r>
            <w:proofErr w:type="spellStart"/>
            <w:r w:rsidRPr="006F67B5">
              <w:rPr>
                <w:rFonts w:ascii="Times New Roman" w:hAnsi="Times New Roman" w:cs="Times New Roman"/>
                <w:b/>
              </w:rPr>
              <w:t>McGarrah</w:t>
            </w:r>
            <w:proofErr w:type="spellEnd"/>
          </w:p>
        </w:tc>
        <w:tc>
          <w:tcPr>
            <w:tcW w:w="1978" w:type="dxa"/>
          </w:tcPr>
          <w:p w14:paraId="17BD07D6" w14:textId="383DCC96" w:rsidR="006F67B5" w:rsidRPr="006F67B5" w:rsidRDefault="00BF559E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Travis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5C3367C6" w:rsidR="006F67B5" w:rsidRPr="006F67B5" w:rsidRDefault="00E82077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13ED6928" w:rsidR="006F67B5" w:rsidRPr="006F67B5" w:rsidRDefault="00C7370F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  <w:r w:rsidR="000A5EE0">
              <w:rPr>
                <w:rFonts w:ascii="Times New Roman" w:hAnsi="Times New Roman" w:cs="Times New Roman"/>
              </w:rPr>
              <w:t xml:space="preserve">, </w:t>
            </w:r>
            <w:r w:rsidR="00D21EFD">
              <w:rPr>
                <w:rFonts w:ascii="Times New Roman" w:hAnsi="Times New Roman" w:cs="Times New Roman"/>
              </w:rPr>
              <w:t xml:space="preserve">Helen </w:t>
            </w:r>
            <w:r w:rsidR="00080217">
              <w:rPr>
                <w:rFonts w:ascii="Times New Roman" w:hAnsi="Times New Roman" w:cs="Times New Roman"/>
              </w:rPr>
              <w:t>Acosta</w:t>
            </w:r>
          </w:p>
        </w:tc>
        <w:tc>
          <w:tcPr>
            <w:tcW w:w="1978" w:type="dxa"/>
          </w:tcPr>
          <w:p w14:paraId="37C2E3F2" w14:textId="6C6527BE" w:rsidR="006F67B5" w:rsidRPr="006F67B5" w:rsidRDefault="00E82077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5FB45F99" w:rsidR="006F67B5" w:rsidRPr="006F67B5" w:rsidRDefault="00E82077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Avina</w:t>
            </w:r>
          </w:p>
        </w:tc>
        <w:tc>
          <w:tcPr>
            <w:tcW w:w="1978" w:type="dxa"/>
          </w:tcPr>
          <w:p w14:paraId="1FF4921D" w14:textId="5919BD78" w:rsidR="006F67B5" w:rsidRPr="006F67B5" w:rsidRDefault="00E82077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0882EF50" w14:textId="43751D09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981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194"/>
        <w:gridCol w:w="1621"/>
      </w:tblGrid>
      <w:tr w:rsidR="006176DC" w14:paraId="3976CEB7" w14:textId="77777777" w:rsidTr="00DA0918">
        <w:trPr>
          <w:trHeight w:val="286"/>
        </w:trPr>
        <w:tc>
          <w:tcPr>
            <w:tcW w:w="819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DA0918">
        <w:trPr>
          <w:trHeight w:val="490"/>
        </w:trPr>
        <w:tc>
          <w:tcPr>
            <w:tcW w:w="8194" w:type="dxa"/>
          </w:tcPr>
          <w:p w14:paraId="1E0DAD60" w14:textId="64326ACC" w:rsidR="005C0AB5" w:rsidRPr="005241E1" w:rsidRDefault="00D2116E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Set Notetaker</w:t>
            </w:r>
            <w:r w:rsidR="00080217" w:rsidRPr="005241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2E8832" w14:textId="77777777" w:rsidR="00225221" w:rsidRPr="005241E1" w:rsidRDefault="002318BE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Review Minutes</w:t>
            </w:r>
            <w:r w:rsidR="00EE10FA" w:rsidRPr="005241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B66D9A" w14:textId="3FCC5CB7" w:rsidR="00D2116E" w:rsidRPr="005241E1" w:rsidRDefault="00D2116E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97AECB" w14:textId="0C000BF5" w:rsidR="006176DC" w:rsidRPr="00ED0DA4" w:rsidRDefault="0095525B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DA0918">
        <w:trPr>
          <w:trHeight w:val="960"/>
        </w:trPr>
        <w:tc>
          <w:tcPr>
            <w:tcW w:w="8194" w:type="dxa"/>
          </w:tcPr>
          <w:p w14:paraId="160A8398" w14:textId="000E7877" w:rsidR="00C87FDD" w:rsidRDefault="005732F0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Chair Report</w:t>
            </w:r>
            <w:r w:rsidR="000A5EE0" w:rsidRPr="005241E1">
              <w:rPr>
                <w:rFonts w:cstheme="minorHAnsi"/>
                <w:sz w:val="24"/>
                <w:szCs w:val="24"/>
              </w:rPr>
              <w:t>: Grace &amp; Christie</w:t>
            </w:r>
          </w:p>
          <w:p w14:paraId="42311894" w14:textId="77777777" w:rsidR="00BF559E" w:rsidRDefault="00BF559E" w:rsidP="00BF559E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922CF5E" w14:textId="0B374CB7" w:rsidR="00BF559E" w:rsidRDefault="00BF559E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Grace: Mapping the enrollment landscape by </w:t>
            </w: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r w:rsidR="00DA0918">
              <w:rPr>
                <w:rFonts w:cstheme="minorHAnsi"/>
                <w:sz w:val="24"/>
                <w:szCs w:val="24"/>
              </w:rPr>
              <w:t>AB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gramEnd"/>
            <w:r>
              <w:rPr>
                <w:rFonts w:cstheme="minorHAnsi"/>
                <w:sz w:val="24"/>
                <w:szCs w:val="24"/>
              </w:rPr>
              <w:t>owner of Starfish)—Grace will add to our committee docs.</w:t>
            </w:r>
          </w:p>
          <w:p w14:paraId="69E9B7E3" w14:textId="77777777" w:rsidR="00BF559E" w:rsidRDefault="00BF559E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-The view of Gen P that they share: </w:t>
            </w:r>
          </w:p>
          <w:p w14:paraId="3FEA72F4" w14:textId="46407E18" w:rsidR="00BF559E" w:rsidRDefault="00BF559E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*Credentialing may be more important than degrees. Skill credentials offered by entities like Google are changing the landscape. </w:t>
            </w:r>
          </w:p>
          <w:p w14:paraId="2888596F" w14:textId="4B036ABF" w:rsidR="00BF559E" w:rsidRDefault="00BF559E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*Gen P (pandemic generation): less academically prepared, lower persistence (more </w:t>
            </w:r>
            <w:proofErr w:type="gramStart"/>
            <w:r>
              <w:rPr>
                <w:rFonts w:cstheme="minorHAnsi"/>
                <w:sz w:val="24"/>
                <w:szCs w:val="24"/>
              </w:rPr>
              <w:t>drop-outs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 the 1</w:t>
            </w:r>
            <w:r w:rsidRPr="00BF559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10 days),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undersocialized</w:t>
            </w:r>
            <w:proofErr w:type="spellEnd"/>
            <w:r>
              <w:rPr>
                <w:rFonts w:cstheme="minorHAnsi"/>
                <w:sz w:val="24"/>
                <w:szCs w:val="24"/>
              </w:rPr>
              <w:t>, struggle to get along with professors and other students, disengaged, don’t complete assignments.</w:t>
            </w:r>
          </w:p>
          <w:p w14:paraId="243778C9" w14:textId="54B4BAD3" w:rsidR="00BF559E" w:rsidRDefault="00BF559E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*Matt shared the article from the Chronicle of Education about the Male student crisis. Grace will add it to our docs.</w:t>
            </w:r>
          </w:p>
          <w:p w14:paraId="064E5E00" w14:textId="76FD33A0" w:rsidR="00BF559E" w:rsidRPr="005241E1" w:rsidRDefault="00BF559E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-While many Universities have decreased humanities </w:t>
            </w:r>
            <w:r w:rsidR="00DA0918">
              <w:rPr>
                <w:rFonts w:cstheme="minorHAnsi"/>
                <w:sz w:val="24"/>
                <w:szCs w:val="24"/>
              </w:rPr>
              <w:t xml:space="preserve">offering </w:t>
            </w:r>
            <w:r>
              <w:rPr>
                <w:rFonts w:cstheme="minorHAnsi"/>
                <w:sz w:val="24"/>
                <w:szCs w:val="24"/>
              </w:rPr>
              <w:t xml:space="preserve">students </w:t>
            </w:r>
            <w:r w:rsidR="00DA0918">
              <w:rPr>
                <w:rFonts w:cstheme="minorHAnsi"/>
                <w:sz w:val="24"/>
                <w:szCs w:val="24"/>
              </w:rPr>
              <w:t>surveyed,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0918">
              <w:rPr>
                <w:rFonts w:cstheme="minorHAnsi"/>
                <w:sz w:val="24"/>
                <w:szCs w:val="24"/>
              </w:rPr>
              <w:t xml:space="preserve">they </w:t>
            </w:r>
            <w:r>
              <w:rPr>
                <w:rFonts w:cstheme="minorHAnsi"/>
                <w:sz w:val="24"/>
                <w:szCs w:val="24"/>
              </w:rPr>
              <w:t>want more humanities.</w:t>
            </w:r>
            <w:r w:rsidR="00DA0918">
              <w:rPr>
                <w:rFonts w:cstheme="minorHAnsi"/>
                <w:sz w:val="24"/>
                <w:szCs w:val="24"/>
              </w:rPr>
              <w:t xml:space="preserve"> EAB reported of institutions who have highlighted new humanities programs </w:t>
            </w:r>
            <w:proofErr w:type="gramStart"/>
            <w:r w:rsidR="00DA0918">
              <w:rPr>
                <w:rFonts w:cstheme="minorHAnsi"/>
                <w:sz w:val="24"/>
                <w:szCs w:val="24"/>
              </w:rPr>
              <w:t>have</w:t>
            </w:r>
            <w:proofErr w:type="gramEnd"/>
            <w:r w:rsidR="00DA0918">
              <w:rPr>
                <w:rFonts w:cstheme="minorHAnsi"/>
                <w:sz w:val="24"/>
                <w:szCs w:val="24"/>
              </w:rPr>
              <w:t xml:space="preserve"> enrollment growth.</w:t>
            </w:r>
          </w:p>
          <w:p w14:paraId="027E2125" w14:textId="77777777" w:rsidR="008A6B43" w:rsidRPr="005241E1" w:rsidRDefault="008A6B43" w:rsidP="00BF559E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AFDA877" w14:textId="4A69B10D" w:rsidR="00600910" w:rsidRDefault="00600910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9759D">
              <w:rPr>
                <w:rFonts w:cstheme="minorHAnsi"/>
                <w:sz w:val="24"/>
                <w:szCs w:val="24"/>
              </w:rPr>
              <w:t>Schedule for presentations</w:t>
            </w:r>
            <w:r w:rsidRPr="005241E1">
              <w:rPr>
                <w:rFonts w:cstheme="minorHAnsi"/>
                <w:sz w:val="24"/>
                <w:szCs w:val="24"/>
              </w:rPr>
              <w:t xml:space="preserve"> </w:t>
            </w:r>
            <w:r w:rsidR="006B6711">
              <w:rPr>
                <w:rFonts w:cstheme="minorHAnsi"/>
                <w:sz w:val="24"/>
                <w:szCs w:val="24"/>
              </w:rPr>
              <w:t>– need to reschedule EDU &amp; ITT</w:t>
            </w:r>
            <w:r w:rsidR="00E82077">
              <w:rPr>
                <w:rFonts w:cstheme="minorHAnsi"/>
                <w:sz w:val="24"/>
                <w:szCs w:val="24"/>
              </w:rPr>
              <w:br/>
              <w:t xml:space="preserve">EDU: Presented at College Council but not to </w:t>
            </w:r>
            <w:proofErr w:type="gramStart"/>
            <w:r w:rsidR="00E82077">
              <w:rPr>
                <w:rFonts w:cstheme="minorHAnsi"/>
                <w:sz w:val="24"/>
                <w:szCs w:val="24"/>
              </w:rPr>
              <w:t>GPS</w:t>
            </w:r>
            <w:proofErr w:type="gramEnd"/>
          </w:p>
          <w:p w14:paraId="66B0C300" w14:textId="0A28DDA4" w:rsidR="00E82077" w:rsidRDefault="006A5566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Lots of schedule swapping discussion…the discussion will continue via email. </w:t>
            </w:r>
          </w:p>
          <w:p w14:paraId="25AFD81A" w14:textId="77777777" w:rsidR="00BF559E" w:rsidRPr="005241E1" w:rsidRDefault="00BF559E" w:rsidP="00BF559E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A750004" w14:textId="77777777" w:rsidR="00086DD8" w:rsidRDefault="003D27D7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Notes from </w:t>
            </w:r>
            <w:r w:rsidR="00421E27">
              <w:rPr>
                <w:rFonts w:cstheme="minorHAnsi"/>
                <w:sz w:val="24"/>
                <w:szCs w:val="24"/>
              </w:rPr>
              <w:t>College Council</w:t>
            </w:r>
            <w:r w:rsidR="00BF559E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0F4B824B" w14:textId="3F4A8B69" w:rsidR="00ED0DA4" w:rsidRDefault="00086DD8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BF559E">
              <w:rPr>
                <w:rFonts w:cstheme="minorHAnsi"/>
                <w:sz w:val="24"/>
                <w:szCs w:val="24"/>
              </w:rPr>
              <w:t>Fraud mitigation (see emailed presentation)</w:t>
            </w:r>
          </w:p>
          <w:p w14:paraId="02DF17ED" w14:textId="0EEAD928" w:rsidR="00BF559E" w:rsidRDefault="00BF559E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-We’ve been presenting across the college about the crisis in fake students, the college response (protecting taxpayer money) and the State Response: ID ME</w:t>
            </w:r>
            <w:r w:rsidR="00086DD8">
              <w:rPr>
                <w:rFonts w:cstheme="minorHAnsi"/>
                <w:sz w:val="24"/>
                <w:szCs w:val="24"/>
              </w:rPr>
              <w:t>. Kimberly Bligh shared the successful strategy used by EDUC: if in doubt, flag on roll and watch assignment submissions. For the first online assignments EDUC is training faculty to watch-out for CHAT GPT answers and in-depth answers to early rudimentary questions in Canvas assignments. BC has reinstituted enrollment block above 19 units since most fraudulent students take more than 20 units.</w:t>
            </w:r>
          </w:p>
          <w:p w14:paraId="207D08DF" w14:textId="1EDF1CD3" w:rsidR="00086DD8" w:rsidRDefault="00086DD8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Naming of the Arvin Library after</w:t>
            </w:r>
            <w:r w:rsidR="00DA0918">
              <w:rPr>
                <w:rFonts w:cstheme="minorHAnsi"/>
                <w:sz w:val="24"/>
                <w:szCs w:val="24"/>
              </w:rPr>
              <w:t xml:space="preserve"> Dr.</w:t>
            </w:r>
            <w:r>
              <w:rPr>
                <w:rFonts w:cstheme="minorHAnsi"/>
                <w:sz w:val="24"/>
                <w:szCs w:val="24"/>
              </w:rPr>
              <w:t xml:space="preserve"> James Young</w:t>
            </w:r>
          </w:p>
          <w:p w14:paraId="7F10CDC9" w14:textId="25244AB9" w:rsidR="00086DD8" w:rsidRDefault="00086DD8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Discussion of Arvin Early College opening of the Arvin Center </w:t>
            </w:r>
            <w:r w:rsidR="00E82077">
              <w:rPr>
                <w:rFonts w:cstheme="minorHAnsi"/>
                <w:sz w:val="24"/>
                <w:szCs w:val="24"/>
              </w:rPr>
              <w:t>logistics of continuing 5pm nutrition break that is part of the Arvin HS afterschool programs.</w:t>
            </w:r>
            <w:r w:rsidR="00DA0918">
              <w:rPr>
                <w:rFonts w:cstheme="minorHAnsi"/>
                <w:sz w:val="24"/>
                <w:szCs w:val="24"/>
              </w:rPr>
              <w:t xml:space="preserve"> This concern was brought the academic senate president Erica Menchaca who will discuss with executive leadership and go from there. </w:t>
            </w:r>
          </w:p>
          <w:p w14:paraId="7C7A6F6C" w14:textId="77777777" w:rsidR="00BF559E" w:rsidRDefault="00BF559E" w:rsidP="00BF559E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EF4EDE3" w14:textId="7C534FF4" w:rsidR="00021D43" w:rsidRDefault="003D27D7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 on </w:t>
            </w:r>
            <w:r w:rsidR="00021D43">
              <w:rPr>
                <w:rFonts w:cstheme="minorHAnsi"/>
                <w:sz w:val="24"/>
                <w:szCs w:val="24"/>
              </w:rPr>
              <w:t>GP Training</w:t>
            </w:r>
            <w:r>
              <w:rPr>
                <w:rFonts w:cstheme="minorHAnsi"/>
                <w:sz w:val="24"/>
                <w:szCs w:val="24"/>
              </w:rPr>
              <w:t xml:space="preserve"> w/GPRC</w:t>
            </w:r>
            <w:r w:rsidR="00E82077">
              <w:rPr>
                <w:rFonts w:cstheme="minorHAnsi"/>
                <w:sz w:val="24"/>
                <w:szCs w:val="24"/>
              </w:rPr>
              <w:t>: lots of logistics discussion, March 1 will likely be the 1</w:t>
            </w:r>
            <w:r w:rsidR="00E82077" w:rsidRPr="00E8207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E82077">
              <w:rPr>
                <w:rFonts w:cstheme="minorHAnsi"/>
                <w:sz w:val="24"/>
                <w:szCs w:val="24"/>
              </w:rPr>
              <w:t xml:space="preserve"> training. Classified training may work best in the summer since they work </w:t>
            </w:r>
            <w:r w:rsidR="00E82077">
              <w:rPr>
                <w:rFonts w:cstheme="minorHAnsi"/>
                <w:sz w:val="24"/>
                <w:szCs w:val="24"/>
              </w:rPr>
              <w:lastRenderedPageBreak/>
              <w:t xml:space="preserve">through the summer and there are times during summer that are less busy. Marisa talked about how many new advisors need this training. She also suggested to-do lists for faculty over the summer related to pathway and at Convocation by pathway. </w:t>
            </w:r>
          </w:p>
          <w:p w14:paraId="18D49C48" w14:textId="77777777" w:rsidR="006A5566" w:rsidRDefault="006A5566" w:rsidP="00BF559E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1095274" w14:textId="3B9D17A4" w:rsidR="00C9759D" w:rsidRPr="005241E1" w:rsidRDefault="00C9759D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Starfish Progress Report Data</w:t>
            </w:r>
            <w:r w:rsidR="006A5566">
              <w:rPr>
                <w:rFonts w:cstheme="minorHAnsi"/>
                <w:sz w:val="24"/>
                <w:szCs w:val="24"/>
              </w:rPr>
              <w:t xml:space="preserve">: </w:t>
            </w:r>
            <w:r w:rsidR="00DA0918">
              <w:rPr>
                <w:rFonts w:cstheme="minorHAnsi"/>
                <w:sz w:val="24"/>
                <w:szCs w:val="24"/>
              </w:rPr>
              <w:t>Grace will share via email.</w:t>
            </w:r>
          </w:p>
          <w:p w14:paraId="2D10FB19" w14:textId="143AB328" w:rsidR="008174A6" w:rsidRPr="005241E1" w:rsidRDefault="008174A6" w:rsidP="000A5EE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7DC84B" w14:textId="05155741" w:rsidR="005732F0" w:rsidRPr="00ED0DA4" w:rsidRDefault="00A05A18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</w:t>
            </w:r>
            <w:r w:rsidR="008E45BC" w:rsidRPr="00ED0DA4">
              <w:rPr>
                <w:rFonts w:cstheme="minorHAnsi"/>
                <w:sz w:val="24"/>
                <w:szCs w:val="24"/>
              </w:rPr>
              <w:t xml:space="preserve"> </w:t>
            </w:r>
            <w:r w:rsidR="005732F0" w:rsidRPr="00ED0DA4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B43692" w14:paraId="574AF13C" w14:textId="77777777" w:rsidTr="00DA0918">
        <w:trPr>
          <w:trHeight w:val="599"/>
        </w:trPr>
        <w:tc>
          <w:tcPr>
            <w:tcW w:w="8194" w:type="dxa"/>
          </w:tcPr>
          <w:p w14:paraId="1C90D822" w14:textId="655CA884" w:rsidR="00420BB7" w:rsidRPr="005241E1" w:rsidRDefault="00D139F4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ACH</w:t>
            </w:r>
            <w:r w:rsidR="00420BB7" w:rsidRPr="005241E1">
              <w:rPr>
                <w:rFonts w:cstheme="minorHAnsi"/>
                <w:sz w:val="24"/>
                <w:szCs w:val="24"/>
              </w:rPr>
              <w:t xml:space="preserve"> Presentation to GPS</w:t>
            </w:r>
            <w:r w:rsidR="00600910" w:rsidRPr="005241E1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Matt</w:t>
            </w:r>
          </w:p>
          <w:p w14:paraId="6DF4354E" w14:textId="00BF18BA" w:rsidR="00600910" w:rsidRDefault="0020361D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Follow-up from CC presentation</w:t>
            </w:r>
          </w:p>
          <w:p w14:paraId="4BEB1FC7" w14:textId="77777777" w:rsidR="006A5566" w:rsidRDefault="006A5566" w:rsidP="00BF559E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BBC4B37" w14:textId="77777777" w:rsidR="006A5566" w:rsidRDefault="006A5566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Our programs are unique: </w:t>
            </w:r>
          </w:p>
          <w:p w14:paraId="2336AA67" w14:textId="769F3C76" w:rsidR="006A5566" w:rsidRDefault="006A5566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-Music students don’t tend to fit the 2-year program completion goals due to the required sequences.</w:t>
            </w:r>
          </w:p>
          <w:p w14:paraId="263E0A97" w14:textId="55DF7C0B" w:rsidR="006A5566" w:rsidRDefault="006A5566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-86% of RSP students are ACH pathway majors (most of these are COMM majors)</w:t>
            </w:r>
          </w:p>
          <w:p w14:paraId="0629D897" w14:textId="0B5BB668" w:rsidR="006A5566" w:rsidRDefault="006A5566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-Disciplines in the pathway represent the greatest percentage of general education courses at BC</w:t>
            </w:r>
          </w:p>
          <w:p w14:paraId="2ABC7865" w14:textId="0833D956" w:rsidR="006A5566" w:rsidRDefault="006A5566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numbers:</w:t>
            </w:r>
          </w:p>
          <w:p w14:paraId="0F7F5894" w14:textId="4EBB21B0" w:rsidR="006A5566" w:rsidRDefault="006A5566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-Our demographics are returning to pre-covid numbers</w:t>
            </w:r>
          </w:p>
          <w:p w14:paraId="274B85E5" w14:textId="045722C0" w:rsidR="006A5566" w:rsidRDefault="006A5566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-Less than 20% of ACH students attempt 15 units in their 1</w:t>
            </w:r>
            <w:r w:rsidRPr="006A556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semester, though our numbers are growing</w:t>
            </w:r>
          </w:p>
          <w:p w14:paraId="0BD7766C" w14:textId="2A07A50D" w:rsidR="007D7D3F" w:rsidRDefault="007D7D3F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challenge:</w:t>
            </w:r>
          </w:p>
          <w:p w14:paraId="5C8E892E" w14:textId="4E96A57A" w:rsidR="007D7D3F" w:rsidRDefault="007D7D3F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-Persistence power combos: started Fall 2023 </w:t>
            </w:r>
          </w:p>
          <w:p w14:paraId="6458EEEC" w14:textId="77777777" w:rsidR="007D7D3F" w:rsidRDefault="007D7D3F" w:rsidP="00BF559E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924E653" w14:textId="002188A0" w:rsidR="007D7D3F" w:rsidRDefault="007D7D3F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ACH pathway and Renegade Nexus referrals: Progress referrals for Nexus highest from </w:t>
            </w:r>
            <w:proofErr w:type="gramStart"/>
            <w:r>
              <w:rPr>
                <w:rFonts w:cstheme="minorHAnsi"/>
                <w:sz w:val="24"/>
                <w:szCs w:val="24"/>
              </w:rPr>
              <w:t>ACH</w:t>
            </w:r>
            <w:proofErr w:type="gramEnd"/>
          </w:p>
          <w:p w14:paraId="3A3A2524" w14:textId="77777777" w:rsidR="007D7D3F" w:rsidRDefault="007D7D3F" w:rsidP="00BF559E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E142919" w14:textId="4DB20B4F" w:rsidR="00A05A18" w:rsidRDefault="007D7D3F" w:rsidP="007D7D3F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Performing Arts </w:t>
            </w:r>
            <w:proofErr w:type="gramStart"/>
            <w:r>
              <w:rPr>
                <w:rFonts w:cstheme="minorHAnsi"/>
                <w:sz w:val="24"/>
                <w:szCs w:val="24"/>
              </w:rPr>
              <w:t>support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the entire campus community. </w:t>
            </w:r>
          </w:p>
          <w:p w14:paraId="46062896" w14:textId="77777777" w:rsidR="007D7D3F" w:rsidRDefault="007D7D3F" w:rsidP="007D7D3F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6A73951" w14:textId="7D01D7AF" w:rsidR="007D7D3F" w:rsidRPr="005241E1" w:rsidRDefault="007D7D3F" w:rsidP="007D7D3F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Note: College council asked no questions and gave no feedback. We gave our presentation and then we were out of there.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  <w:t xml:space="preserve">However, other pathways noted that there were many questions. </w:t>
            </w:r>
          </w:p>
          <w:p w14:paraId="13B4C210" w14:textId="77777777" w:rsidR="00B43692" w:rsidRPr="005241E1" w:rsidRDefault="00B43692" w:rsidP="00A05A1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227E85" w14:textId="77777777" w:rsidR="00B43692" w:rsidRDefault="00DD01E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05A18">
              <w:rPr>
                <w:rFonts w:cstheme="minorHAnsi"/>
                <w:sz w:val="24"/>
                <w:szCs w:val="24"/>
              </w:rPr>
              <w:t>0</w:t>
            </w:r>
            <w:r w:rsidR="00B43692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  <w:p w14:paraId="18859251" w14:textId="3C346F48" w:rsidR="00A05A18" w:rsidRPr="00ED0DA4" w:rsidRDefault="00A05A18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8735E7" w14:paraId="7B19D806" w14:textId="77777777" w:rsidTr="00DA0918">
        <w:trPr>
          <w:trHeight w:val="599"/>
        </w:trPr>
        <w:tc>
          <w:tcPr>
            <w:tcW w:w="8194" w:type="dxa"/>
          </w:tcPr>
          <w:p w14:paraId="08385761" w14:textId="6BF8909B" w:rsidR="008735E7" w:rsidRPr="005241E1" w:rsidRDefault="008735E7" w:rsidP="00BF559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Q&amp;A</w:t>
            </w:r>
            <w:r w:rsidR="00ED0DA4" w:rsidRPr="005241E1">
              <w:rPr>
                <w:rFonts w:cstheme="minorHAnsi"/>
                <w:sz w:val="24"/>
                <w:szCs w:val="24"/>
              </w:rPr>
              <w:t>:</w:t>
            </w:r>
          </w:p>
          <w:p w14:paraId="12C722EC" w14:textId="14A0BC35" w:rsidR="00ED0DA4" w:rsidRDefault="008735E7" w:rsidP="00DA091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 xml:space="preserve">Opportunity to </w:t>
            </w:r>
            <w:r w:rsidR="00ED0DA4" w:rsidRPr="005241E1">
              <w:rPr>
                <w:rFonts w:cstheme="minorHAnsi"/>
                <w:sz w:val="24"/>
                <w:szCs w:val="24"/>
              </w:rPr>
              <w:t xml:space="preserve">ask additional questions or raise </w:t>
            </w:r>
            <w:r w:rsidR="00F749BD" w:rsidRPr="005241E1">
              <w:rPr>
                <w:rFonts w:cstheme="minorHAnsi"/>
                <w:sz w:val="24"/>
                <w:szCs w:val="24"/>
              </w:rPr>
              <w:t>concerns.</w:t>
            </w:r>
          </w:p>
          <w:p w14:paraId="10C578FD" w14:textId="0D44E482" w:rsidR="00A05A18" w:rsidRPr="005241E1" w:rsidRDefault="00A05A18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BF2C79" w14:textId="4272DB06" w:rsidR="008735E7" w:rsidRPr="00ED0DA4" w:rsidRDefault="008A6B4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05A18">
              <w:rPr>
                <w:rFonts w:cstheme="minorHAnsi"/>
                <w:sz w:val="24"/>
                <w:szCs w:val="24"/>
              </w:rPr>
              <w:t>0</w:t>
            </w:r>
            <w:r w:rsidR="00ED0DA4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A05A18" w14:paraId="0E7AE065" w14:textId="77777777" w:rsidTr="00DA0918">
        <w:trPr>
          <w:trHeight w:val="784"/>
        </w:trPr>
        <w:tc>
          <w:tcPr>
            <w:tcW w:w="9815" w:type="dxa"/>
            <w:gridSpan w:val="2"/>
          </w:tcPr>
          <w:p w14:paraId="2FA7ADA9" w14:textId="77777777" w:rsidR="00A05A18" w:rsidRDefault="00A05A18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Resources:</w:t>
            </w:r>
          </w:p>
          <w:p w14:paraId="43BEEC45" w14:textId="75BEB702" w:rsidR="00A05A18" w:rsidRPr="00ED0DA4" w:rsidRDefault="00DA0918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A05A18" w:rsidRPr="005241E1">
                <w:rPr>
                  <w:rStyle w:val="Hyperlink"/>
                  <w:rFonts w:cstheme="minorHAnsi"/>
                  <w:sz w:val="24"/>
                  <w:szCs w:val="24"/>
                </w:rPr>
                <w:t>BC GP Momentum Points Dashboard</w:t>
              </w:r>
            </w:hyperlink>
          </w:p>
        </w:tc>
      </w:tr>
      <w:tr w:rsidR="00A05A18" w14:paraId="27476873" w14:textId="77777777" w:rsidTr="00DA0918">
        <w:trPr>
          <w:trHeight w:val="784"/>
        </w:trPr>
        <w:tc>
          <w:tcPr>
            <w:tcW w:w="9815" w:type="dxa"/>
            <w:gridSpan w:val="2"/>
          </w:tcPr>
          <w:p w14:paraId="4034ACE5" w14:textId="77777777" w:rsidR="00A05A18" w:rsidRPr="005241E1" w:rsidRDefault="00A05A18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Announcements:</w:t>
            </w:r>
          </w:p>
          <w:p w14:paraId="10B267DE" w14:textId="77777777" w:rsidR="00A05A18" w:rsidRPr="00ED0DA4" w:rsidRDefault="00A05A18" w:rsidP="00DA0918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8A6B43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823766212">
    <w:abstractNumId w:val="1"/>
  </w:num>
  <w:num w:numId="2" w16cid:durableId="2134128242">
    <w:abstractNumId w:val="4"/>
  </w:num>
  <w:num w:numId="3" w16cid:durableId="884413084">
    <w:abstractNumId w:val="9"/>
  </w:num>
  <w:num w:numId="4" w16cid:durableId="951130135">
    <w:abstractNumId w:val="6"/>
  </w:num>
  <w:num w:numId="5" w16cid:durableId="1090736948">
    <w:abstractNumId w:val="0"/>
  </w:num>
  <w:num w:numId="6" w16cid:durableId="1580627596">
    <w:abstractNumId w:val="8"/>
  </w:num>
  <w:num w:numId="7" w16cid:durableId="447899275">
    <w:abstractNumId w:val="5"/>
  </w:num>
  <w:num w:numId="8" w16cid:durableId="594434794">
    <w:abstractNumId w:val="7"/>
  </w:num>
  <w:num w:numId="9" w16cid:durableId="873230168">
    <w:abstractNumId w:val="3"/>
  </w:num>
  <w:num w:numId="10" w16cid:durableId="43374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76BF"/>
    <w:rsid w:val="00021D43"/>
    <w:rsid w:val="00033598"/>
    <w:rsid w:val="0003478A"/>
    <w:rsid w:val="000425A1"/>
    <w:rsid w:val="00052F10"/>
    <w:rsid w:val="0006751E"/>
    <w:rsid w:val="00080217"/>
    <w:rsid w:val="00086DD8"/>
    <w:rsid w:val="000A5EE0"/>
    <w:rsid w:val="000B2326"/>
    <w:rsid w:val="000B3C44"/>
    <w:rsid w:val="000D60EF"/>
    <w:rsid w:val="000D64AB"/>
    <w:rsid w:val="001022A3"/>
    <w:rsid w:val="0010731D"/>
    <w:rsid w:val="00111287"/>
    <w:rsid w:val="00111FBD"/>
    <w:rsid w:val="00114DAC"/>
    <w:rsid w:val="00117995"/>
    <w:rsid w:val="00134B2F"/>
    <w:rsid w:val="001362B9"/>
    <w:rsid w:val="0014406B"/>
    <w:rsid w:val="00151C41"/>
    <w:rsid w:val="00157C1B"/>
    <w:rsid w:val="0016202E"/>
    <w:rsid w:val="00183DB4"/>
    <w:rsid w:val="00187F2C"/>
    <w:rsid w:val="00193BBE"/>
    <w:rsid w:val="001D3613"/>
    <w:rsid w:val="001E2AB4"/>
    <w:rsid w:val="00203172"/>
    <w:rsid w:val="0020361D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D27D7"/>
    <w:rsid w:val="003F1683"/>
    <w:rsid w:val="003F34AE"/>
    <w:rsid w:val="004020C0"/>
    <w:rsid w:val="00420BB7"/>
    <w:rsid w:val="00421E27"/>
    <w:rsid w:val="00433106"/>
    <w:rsid w:val="00433FE1"/>
    <w:rsid w:val="00460A7F"/>
    <w:rsid w:val="00470672"/>
    <w:rsid w:val="00471BF4"/>
    <w:rsid w:val="00484DE6"/>
    <w:rsid w:val="004B2EE5"/>
    <w:rsid w:val="004C3095"/>
    <w:rsid w:val="004D7019"/>
    <w:rsid w:val="004D7273"/>
    <w:rsid w:val="00502168"/>
    <w:rsid w:val="005241E1"/>
    <w:rsid w:val="00526D68"/>
    <w:rsid w:val="005562CD"/>
    <w:rsid w:val="005574B9"/>
    <w:rsid w:val="005627A7"/>
    <w:rsid w:val="00564F4F"/>
    <w:rsid w:val="00572066"/>
    <w:rsid w:val="005732F0"/>
    <w:rsid w:val="005962B0"/>
    <w:rsid w:val="00597F6C"/>
    <w:rsid w:val="005A5EB7"/>
    <w:rsid w:val="005C0AB5"/>
    <w:rsid w:val="00600045"/>
    <w:rsid w:val="00600910"/>
    <w:rsid w:val="00604DF5"/>
    <w:rsid w:val="00611B41"/>
    <w:rsid w:val="0061371F"/>
    <w:rsid w:val="006176DC"/>
    <w:rsid w:val="00617F81"/>
    <w:rsid w:val="0062697A"/>
    <w:rsid w:val="00641E37"/>
    <w:rsid w:val="0065698A"/>
    <w:rsid w:val="00657F37"/>
    <w:rsid w:val="00682DB0"/>
    <w:rsid w:val="00693A9A"/>
    <w:rsid w:val="006A1CD1"/>
    <w:rsid w:val="006A5566"/>
    <w:rsid w:val="006B28C6"/>
    <w:rsid w:val="006B6711"/>
    <w:rsid w:val="006B7D9D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C0103"/>
    <w:rsid w:val="007D7D3F"/>
    <w:rsid w:val="007F4745"/>
    <w:rsid w:val="008174A6"/>
    <w:rsid w:val="00824A5B"/>
    <w:rsid w:val="00837153"/>
    <w:rsid w:val="00841338"/>
    <w:rsid w:val="008735E7"/>
    <w:rsid w:val="008A6B43"/>
    <w:rsid w:val="008C2C4D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B048F"/>
    <w:rsid w:val="009B60DD"/>
    <w:rsid w:val="009C0516"/>
    <w:rsid w:val="009C4F3C"/>
    <w:rsid w:val="009C7FE6"/>
    <w:rsid w:val="009D20E5"/>
    <w:rsid w:val="009D5CEB"/>
    <w:rsid w:val="009D5E35"/>
    <w:rsid w:val="009E5D70"/>
    <w:rsid w:val="00A05A18"/>
    <w:rsid w:val="00A0695C"/>
    <w:rsid w:val="00A147AA"/>
    <w:rsid w:val="00A400EC"/>
    <w:rsid w:val="00A54421"/>
    <w:rsid w:val="00AA16A4"/>
    <w:rsid w:val="00AB5D9D"/>
    <w:rsid w:val="00AB5F47"/>
    <w:rsid w:val="00AC0267"/>
    <w:rsid w:val="00AD2327"/>
    <w:rsid w:val="00AF5667"/>
    <w:rsid w:val="00B06F80"/>
    <w:rsid w:val="00B2186D"/>
    <w:rsid w:val="00B224F4"/>
    <w:rsid w:val="00B43692"/>
    <w:rsid w:val="00B453AD"/>
    <w:rsid w:val="00B51CFE"/>
    <w:rsid w:val="00B66BBB"/>
    <w:rsid w:val="00B7072E"/>
    <w:rsid w:val="00B716D3"/>
    <w:rsid w:val="00B72B9E"/>
    <w:rsid w:val="00B76910"/>
    <w:rsid w:val="00B83F85"/>
    <w:rsid w:val="00B93F5B"/>
    <w:rsid w:val="00BA634B"/>
    <w:rsid w:val="00BA6F4F"/>
    <w:rsid w:val="00BA7289"/>
    <w:rsid w:val="00BB0D3C"/>
    <w:rsid w:val="00BC1B26"/>
    <w:rsid w:val="00BD4563"/>
    <w:rsid w:val="00BD52C3"/>
    <w:rsid w:val="00BF559E"/>
    <w:rsid w:val="00C11BAB"/>
    <w:rsid w:val="00C32317"/>
    <w:rsid w:val="00C36B6F"/>
    <w:rsid w:val="00C66F8E"/>
    <w:rsid w:val="00C7370F"/>
    <w:rsid w:val="00C8482B"/>
    <w:rsid w:val="00C87FDD"/>
    <w:rsid w:val="00C9759D"/>
    <w:rsid w:val="00CC359A"/>
    <w:rsid w:val="00CD595E"/>
    <w:rsid w:val="00CD6397"/>
    <w:rsid w:val="00D001FF"/>
    <w:rsid w:val="00D02558"/>
    <w:rsid w:val="00D04FAC"/>
    <w:rsid w:val="00D0680F"/>
    <w:rsid w:val="00D139F4"/>
    <w:rsid w:val="00D14E32"/>
    <w:rsid w:val="00D16BE4"/>
    <w:rsid w:val="00D2116E"/>
    <w:rsid w:val="00D21EFD"/>
    <w:rsid w:val="00D35718"/>
    <w:rsid w:val="00D4268F"/>
    <w:rsid w:val="00D50CD1"/>
    <w:rsid w:val="00D62197"/>
    <w:rsid w:val="00D67CC3"/>
    <w:rsid w:val="00D71CED"/>
    <w:rsid w:val="00D75E9F"/>
    <w:rsid w:val="00D84AB9"/>
    <w:rsid w:val="00DA0918"/>
    <w:rsid w:val="00DA116D"/>
    <w:rsid w:val="00DB406F"/>
    <w:rsid w:val="00DD01E3"/>
    <w:rsid w:val="00DF1224"/>
    <w:rsid w:val="00DF3216"/>
    <w:rsid w:val="00E37046"/>
    <w:rsid w:val="00E41C03"/>
    <w:rsid w:val="00E44EBF"/>
    <w:rsid w:val="00E46AFA"/>
    <w:rsid w:val="00E75D16"/>
    <w:rsid w:val="00E82077"/>
    <w:rsid w:val="00EA39C3"/>
    <w:rsid w:val="00EB2461"/>
    <w:rsid w:val="00EB2821"/>
    <w:rsid w:val="00ED0DA4"/>
    <w:rsid w:val="00ED145F"/>
    <w:rsid w:val="00ED34BE"/>
    <w:rsid w:val="00EE10FA"/>
    <w:rsid w:val="00EE2A1E"/>
    <w:rsid w:val="00F255B0"/>
    <w:rsid w:val="00F307DA"/>
    <w:rsid w:val="00F30E08"/>
    <w:rsid w:val="00F33DA4"/>
    <w:rsid w:val="00F37986"/>
    <w:rsid w:val="00F434E8"/>
    <w:rsid w:val="00F56FA8"/>
    <w:rsid w:val="00F749BD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2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2024-02-05T22:32:00Z</dcterms:created>
  <dcterms:modified xsi:type="dcterms:W3CDTF">2024-02-05T22:32:00Z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