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9E" w:rsidRPr="0007659A" w:rsidRDefault="0007659A">
      <w:pPr>
        <w:rPr>
          <w:b/>
        </w:rPr>
      </w:pPr>
      <w:bookmarkStart w:id="0" w:name="_GoBack"/>
      <w:bookmarkEnd w:id="0"/>
      <w:r w:rsidRPr="0007659A">
        <w:rPr>
          <w:b/>
        </w:rPr>
        <w:t>Standard I:  Mission, Academic Quality, Institutional Effectiveness and Integrity</w:t>
      </w:r>
    </w:p>
    <w:p w:rsidR="0007659A" w:rsidRDefault="0007659A">
      <w: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w:t>
      </w:r>
    </w:p>
    <w:p w:rsidR="0007659A" w:rsidRDefault="0007659A" w:rsidP="0007659A">
      <w:pPr>
        <w:pStyle w:val="ListParagraph"/>
        <w:numPr>
          <w:ilvl w:val="0"/>
          <w:numId w:val="1"/>
        </w:numPr>
      </w:pPr>
      <w:r>
        <w:t>Mission</w:t>
      </w:r>
    </w:p>
    <w:p w:rsidR="0007659A" w:rsidRDefault="0007659A" w:rsidP="0007659A">
      <w:pPr>
        <w:pStyle w:val="ListParagraph"/>
        <w:numPr>
          <w:ilvl w:val="0"/>
          <w:numId w:val="1"/>
        </w:numPr>
      </w:pPr>
      <w:r>
        <w:t>Assuring Academic Quality and Institutional Effectiveness</w:t>
      </w:r>
    </w:p>
    <w:p w:rsidR="0007659A" w:rsidRPr="006E1F3A" w:rsidRDefault="0007659A" w:rsidP="0007659A">
      <w:pPr>
        <w:pStyle w:val="ListParagraph"/>
        <w:rPr>
          <w:i/>
        </w:rPr>
      </w:pPr>
      <w:r w:rsidRPr="006E1F3A">
        <w:rPr>
          <w:i/>
        </w:rPr>
        <w:t>Academic Quality</w:t>
      </w:r>
    </w:p>
    <w:p w:rsidR="0007659A" w:rsidRPr="006E1F3A" w:rsidRDefault="0007659A" w:rsidP="0007659A">
      <w:pPr>
        <w:pStyle w:val="ListParagraph"/>
        <w:rPr>
          <w:i/>
        </w:rPr>
      </w:pPr>
      <w:r w:rsidRPr="006E1F3A">
        <w:rPr>
          <w:i/>
        </w:rPr>
        <w:t>Institutional Effectiveness</w:t>
      </w:r>
    </w:p>
    <w:p w:rsidR="0007659A" w:rsidRDefault="0007659A" w:rsidP="0007659A">
      <w:pPr>
        <w:pStyle w:val="ListParagraph"/>
        <w:numPr>
          <w:ilvl w:val="0"/>
          <w:numId w:val="1"/>
        </w:numPr>
      </w:pPr>
      <w:r>
        <w:t>Institutional Integrity</w:t>
      </w:r>
    </w:p>
    <w:p w:rsidR="0007659A" w:rsidRPr="006E1F3A" w:rsidRDefault="0007659A" w:rsidP="0007659A">
      <w:pPr>
        <w:rPr>
          <w:b/>
        </w:rPr>
      </w:pPr>
      <w:r w:rsidRPr="006E1F3A">
        <w:rPr>
          <w:b/>
        </w:rPr>
        <w:t>Standard II:  Student Learning Programs and Support Services</w:t>
      </w:r>
    </w:p>
    <w:p w:rsidR="0007659A" w:rsidRDefault="0007659A" w:rsidP="0007659A">
      <w:r>
        <w:t>The institution offers instructional programs, student and learning support services aligned with its mission.  The institution’s programs are conducted at levels of quality and rigor appropriate for higher education and incorporate principles of diversity and equity.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application to all instructional programs and student and learning s</w:t>
      </w:r>
      <w:r w:rsidR="00081FDC">
        <w:t xml:space="preserve">upport services offered in the </w:t>
      </w:r>
      <w:r>
        <w:t>name of the institution.</w:t>
      </w:r>
    </w:p>
    <w:p w:rsidR="0007659A" w:rsidRDefault="0007659A" w:rsidP="0007659A">
      <w:pPr>
        <w:pStyle w:val="ListParagraph"/>
        <w:numPr>
          <w:ilvl w:val="0"/>
          <w:numId w:val="2"/>
        </w:numPr>
      </w:pPr>
      <w:r>
        <w:t>Instructional Programs</w:t>
      </w:r>
    </w:p>
    <w:p w:rsidR="0007659A" w:rsidRDefault="0007659A" w:rsidP="0007659A">
      <w:pPr>
        <w:pStyle w:val="ListParagraph"/>
        <w:numPr>
          <w:ilvl w:val="0"/>
          <w:numId w:val="2"/>
        </w:numPr>
      </w:pPr>
      <w:r>
        <w:t>Student Support and Library and Learning Support Services</w:t>
      </w:r>
    </w:p>
    <w:p w:rsidR="006E1F3A" w:rsidRPr="006E1F3A" w:rsidRDefault="006E1F3A" w:rsidP="006E1F3A">
      <w:pPr>
        <w:pStyle w:val="ListParagraph"/>
        <w:rPr>
          <w:i/>
        </w:rPr>
      </w:pPr>
      <w:r w:rsidRPr="006E1F3A">
        <w:rPr>
          <w:i/>
        </w:rPr>
        <w:t>Student Support</w:t>
      </w:r>
    </w:p>
    <w:p w:rsidR="006E1F3A" w:rsidRPr="006E1F3A" w:rsidRDefault="006E1F3A" w:rsidP="006E1F3A">
      <w:pPr>
        <w:pStyle w:val="ListParagraph"/>
        <w:rPr>
          <w:i/>
        </w:rPr>
      </w:pPr>
      <w:r w:rsidRPr="006E1F3A">
        <w:rPr>
          <w:i/>
        </w:rPr>
        <w:t>Library and Learning Support</w:t>
      </w:r>
    </w:p>
    <w:p w:rsidR="0007659A" w:rsidRPr="006E1F3A" w:rsidRDefault="0007659A" w:rsidP="0007659A">
      <w:pPr>
        <w:rPr>
          <w:b/>
        </w:rPr>
      </w:pPr>
      <w:r w:rsidRPr="006E1F3A">
        <w:rPr>
          <w:b/>
        </w:rPr>
        <w:t>Standard III: Resources</w:t>
      </w:r>
    </w:p>
    <w:p w:rsidR="006E1F3A" w:rsidRDefault="006E1F3A" w:rsidP="0007659A">
      <w: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evaluated against the Standards, and its performance is reflected in the accredited status of the institutions(s).</w:t>
      </w:r>
    </w:p>
    <w:p w:rsidR="0007659A" w:rsidRDefault="0007659A" w:rsidP="0007659A">
      <w:pPr>
        <w:pStyle w:val="ListParagraph"/>
        <w:numPr>
          <w:ilvl w:val="0"/>
          <w:numId w:val="3"/>
        </w:numPr>
      </w:pPr>
      <w:r>
        <w:t>Human Resources</w:t>
      </w:r>
    </w:p>
    <w:p w:rsidR="0007659A" w:rsidRDefault="0007659A" w:rsidP="0007659A">
      <w:pPr>
        <w:pStyle w:val="ListParagraph"/>
        <w:numPr>
          <w:ilvl w:val="0"/>
          <w:numId w:val="3"/>
        </w:numPr>
      </w:pPr>
      <w:r>
        <w:t>Physical Resources</w:t>
      </w:r>
    </w:p>
    <w:p w:rsidR="0007659A" w:rsidRDefault="0007659A" w:rsidP="0007659A">
      <w:pPr>
        <w:pStyle w:val="ListParagraph"/>
        <w:numPr>
          <w:ilvl w:val="0"/>
          <w:numId w:val="3"/>
        </w:numPr>
      </w:pPr>
      <w:r>
        <w:t>Technology Resources</w:t>
      </w:r>
    </w:p>
    <w:p w:rsidR="0007659A" w:rsidRDefault="0007659A" w:rsidP="0007659A">
      <w:pPr>
        <w:pStyle w:val="ListParagraph"/>
        <w:numPr>
          <w:ilvl w:val="0"/>
          <w:numId w:val="3"/>
        </w:numPr>
      </w:pPr>
      <w:r>
        <w:t>Financial Resources</w:t>
      </w:r>
    </w:p>
    <w:p w:rsidR="006E1F3A" w:rsidRPr="006E1F3A" w:rsidRDefault="006E1F3A" w:rsidP="006E1F3A">
      <w:pPr>
        <w:pStyle w:val="ListParagraph"/>
        <w:rPr>
          <w:i/>
        </w:rPr>
      </w:pPr>
      <w:r w:rsidRPr="006E1F3A">
        <w:rPr>
          <w:i/>
        </w:rPr>
        <w:t>Planning</w:t>
      </w:r>
    </w:p>
    <w:p w:rsidR="006E1F3A" w:rsidRPr="006E1F3A" w:rsidRDefault="006E1F3A" w:rsidP="006E1F3A">
      <w:pPr>
        <w:pStyle w:val="ListParagraph"/>
        <w:rPr>
          <w:i/>
        </w:rPr>
      </w:pPr>
      <w:r w:rsidRPr="006E1F3A">
        <w:rPr>
          <w:i/>
        </w:rPr>
        <w:t>Fiscal Responsibility and Stability</w:t>
      </w:r>
    </w:p>
    <w:p w:rsidR="006E1F3A" w:rsidRDefault="006E1F3A" w:rsidP="006E1F3A">
      <w:pPr>
        <w:pStyle w:val="ListParagraph"/>
        <w:rPr>
          <w:i/>
        </w:rPr>
      </w:pPr>
      <w:r w:rsidRPr="006E1F3A">
        <w:rPr>
          <w:i/>
        </w:rPr>
        <w:lastRenderedPageBreak/>
        <w:t>Liabilities</w:t>
      </w:r>
    </w:p>
    <w:p w:rsidR="006E1F3A" w:rsidRPr="006E1F3A" w:rsidRDefault="006E1F3A" w:rsidP="006E1F3A">
      <w:pPr>
        <w:pStyle w:val="ListParagraph"/>
        <w:rPr>
          <w:i/>
        </w:rPr>
      </w:pPr>
      <w:r>
        <w:rPr>
          <w:i/>
        </w:rPr>
        <w:t>Contractual Agreements</w:t>
      </w:r>
    </w:p>
    <w:p w:rsidR="0007659A" w:rsidRDefault="0007659A" w:rsidP="0007659A">
      <w:pPr>
        <w:rPr>
          <w:b/>
        </w:rPr>
      </w:pPr>
      <w:r w:rsidRPr="006E1F3A">
        <w:rPr>
          <w:b/>
        </w:rPr>
        <w:t>Standard IV:  Leadership and Governance</w:t>
      </w:r>
    </w:p>
    <w:p w:rsidR="006E1F3A" w:rsidRPr="00044CF7" w:rsidRDefault="006E1F3A" w:rsidP="0007659A">
      <w:r w:rsidRPr="00044CF7">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w:t>
      </w:r>
    </w:p>
    <w:p w:rsidR="0007659A" w:rsidRDefault="0007659A" w:rsidP="0007659A">
      <w:pPr>
        <w:pStyle w:val="ListParagraph"/>
        <w:numPr>
          <w:ilvl w:val="0"/>
          <w:numId w:val="4"/>
        </w:numPr>
      </w:pPr>
      <w:r>
        <w:t>Decision-Making Roles and Processes</w:t>
      </w:r>
    </w:p>
    <w:p w:rsidR="0007659A" w:rsidRDefault="0007659A" w:rsidP="0007659A">
      <w:pPr>
        <w:pStyle w:val="ListParagraph"/>
        <w:numPr>
          <w:ilvl w:val="0"/>
          <w:numId w:val="4"/>
        </w:numPr>
      </w:pPr>
      <w:r>
        <w:t>Chief Executive Officer</w:t>
      </w:r>
    </w:p>
    <w:p w:rsidR="0007659A" w:rsidRDefault="0007659A" w:rsidP="0007659A">
      <w:pPr>
        <w:pStyle w:val="ListParagraph"/>
        <w:numPr>
          <w:ilvl w:val="0"/>
          <w:numId w:val="4"/>
        </w:numPr>
      </w:pPr>
      <w:r>
        <w:t>Governing Board</w:t>
      </w:r>
    </w:p>
    <w:p w:rsidR="0007659A" w:rsidRDefault="0007659A" w:rsidP="0007659A">
      <w:pPr>
        <w:pStyle w:val="ListParagraph"/>
        <w:numPr>
          <w:ilvl w:val="0"/>
          <w:numId w:val="4"/>
        </w:numPr>
      </w:pPr>
      <w:r>
        <w:t>Multi-College Districts or Systems</w:t>
      </w:r>
    </w:p>
    <w:p w:rsidR="00044CF7" w:rsidRDefault="00044CF7" w:rsidP="00044CF7"/>
    <w:p w:rsidR="00044CF7" w:rsidRDefault="00044CF7" w:rsidP="00044CF7"/>
    <w:p w:rsidR="00044CF7" w:rsidRDefault="00044CF7" w:rsidP="00044CF7"/>
    <w:p w:rsidR="00044CF7" w:rsidRDefault="00044CF7" w:rsidP="00044CF7"/>
    <w:p w:rsidR="00044CF7" w:rsidRDefault="00044CF7" w:rsidP="00044CF7">
      <w:proofErr w:type="gramStart"/>
      <w:r>
        <w:t xml:space="preserve">From the </w:t>
      </w:r>
      <w:r w:rsidR="00C17A6A" w:rsidRPr="00C17A6A">
        <w:rPr>
          <w:i/>
        </w:rPr>
        <w:t>Revisions to Accreditation Standards Approved for First Reading January 2014.</w:t>
      </w:r>
      <w:proofErr w:type="gramEnd"/>
    </w:p>
    <w:p w:rsidR="00C17A6A" w:rsidRDefault="00010A25" w:rsidP="00044CF7">
      <w:hyperlink r:id="rId6" w:history="1">
        <w:r w:rsidR="00C17A6A" w:rsidRPr="00F9237B">
          <w:rPr>
            <w:rStyle w:val="Hyperlink"/>
          </w:rPr>
          <w:t>http://www.accjc.org/wp-content/uploads/2010/09/Accreditation-Standards-crosswalked_-First-Reading-January-2014.pdf</w:t>
        </w:r>
      </w:hyperlink>
    </w:p>
    <w:p w:rsidR="00C17A6A" w:rsidRDefault="00C17A6A" w:rsidP="00044CF7"/>
    <w:p w:rsidR="00C17A6A" w:rsidRDefault="00C17A6A" w:rsidP="00044CF7">
      <w:r>
        <w:t>April 10, 2014</w:t>
      </w:r>
    </w:p>
    <w:p w:rsidR="00C17A6A" w:rsidRDefault="00C17A6A" w:rsidP="00044CF7">
      <w:r>
        <w:t>Kate Pluta</w:t>
      </w:r>
    </w:p>
    <w:p w:rsidR="00C17A6A" w:rsidRDefault="00C17A6A" w:rsidP="00044CF7"/>
    <w:sectPr w:rsidR="00C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34D"/>
    <w:multiLevelType w:val="hybridMultilevel"/>
    <w:tmpl w:val="2E8282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E7656"/>
    <w:multiLevelType w:val="hybridMultilevel"/>
    <w:tmpl w:val="136ED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77F6C"/>
    <w:multiLevelType w:val="hybridMultilevel"/>
    <w:tmpl w:val="E8661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50ECB"/>
    <w:multiLevelType w:val="hybridMultilevel"/>
    <w:tmpl w:val="9B826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9A"/>
    <w:rsid w:val="00010A25"/>
    <w:rsid w:val="00044CF7"/>
    <w:rsid w:val="0007659A"/>
    <w:rsid w:val="00081FDC"/>
    <w:rsid w:val="001E219E"/>
    <w:rsid w:val="006E1F3A"/>
    <w:rsid w:val="00C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59A"/>
    <w:pPr>
      <w:ind w:left="720"/>
      <w:contextualSpacing/>
    </w:pPr>
  </w:style>
  <w:style w:type="character" w:styleId="Hyperlink">
    <w:name w:val="Hyperlink"/>
    <w:basedOn w:val="DefaultParagraphFont"/>
    <w:uiPriority w:val="99"/>
    <w:unhideWhenUsed/>
    <w:rsid w:val="00C17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59A"/>
    <w:pPr>
      <w:ind w:left="720"/>
      <w:contextualSpacing/>
    </w:pPr>
  </w:style>
  <w:style w:type="character" w:styleId="Hyperlink">
    <w:name w:val="Hyperlink"/>
    <w:basedOn w:val="DefaultParagraphFont"/>
    <w:uiPriority w:val="99"/>
    <w:unhideWhenUsed/>
    <w:rsid w:val="00C17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5633">
      <w:bodyDiv w:val="1"/>
      <w:marLeft w:val="0"/>
      <w:marRight w:val="0"/>
      <w:marTop w:val="0"/>
      <w:marBottom w:val="0"/>
      <w:divBdr>
        <w:top w:val="none" w:sz="0" w:space="0" w:color="auto"/>
        <w:left w:val="none" w:sz="0" w:space="0" w:color="auto"/>
        <w:bottom w:val="none" w:sz="0" w:space="0" w:color="auto"/>
        <w:right w:val="none" w:sz="0" w:space="0" w:color="auto"/>
      </w:divBdr>
    </w:div>
    <w:div w:id="19079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jc.org/wp-content/uploads/2010/09/Accreditation-Standards-crosswalked_-First-Reading-January-20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Jennifer Marden</cp:lastModifiedBy>
  <cp:revision>2</cp:revision>
  <dcterms:created xsi:type="dcterms:W3CDTF">2014-04-11T17:02:00Z</dcterms:created>
  <dcterms:modified xsi:type="dcterms:W3CDTF">2014-04-11T17:02:00Z</dcterms:modified>
</cp:coreProperties>
</file>