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26899" w14:textId="77777777" w:rsidR="00594865" w:rsidRDefault="00594865">
      <w:pPr>
        <w:pStyle w:val="Heading1"/>
        <w:keepNext w:val="0"/>
        <w:keepLines w:val="0"/>
        <w:spacing w:before="0" w:after="200"/>
        <w:jc w:val="center"/>
        <w:rPr>
          <w:rFonts w:ascii="Roboto" w:eastAsia="Roboto" w:hAnsi="Roboto" w:cs="Roboto"/>
          <w:b/>
          <w:bCs/>
          <w:color w:val="20124D"/>
          <w:sz w:val="56"/>
          <w:szCs w:val="56"/>
        </w:rPr>
      </w:pPr>
      <w:bookmarkStart w:id="0" w:name="_heading=h.p6lvonf3d0c2" w:colFirst="0" w:colLast="0"/>
      <w:bookmarkEnd w:id="0"/>
    </w:p>
    <w:p w14:paraId="25237BF1" w14:textId="77777777" w:rsidR="00594865" w:rsidRDefault="0009704C">
      <w:pPr>
        <w:pStyle w:val="Heading1"/>
        <w:keepNext w:val="0"/>
        <w:keepLines w:val="0"/>
        <w:spacing w:before="0" w:after="200"/>
        <w:jc w:val="center"/>
        <w:rPr>
          <w:rFonts w:ascii="Roboto" w:eastAsia="Roboto" w:hAnsi="Roboto" w:cs="Roboto"/>
          <w:b/>
          <w:bCs/>
          <w:color w:val="20124D"/>
          <w:sz w:val="56"/>
          <w:szCs w:val="56"/>
        </w:rPr>
      </w:pPr>
      <w:r>
        <w:rPr>
          <w:rFonts w:ascii="Roboto" w:eastAsia="Roboto" w:hAnsi="Roboto" w:cs="Roboto"/>
          <w:b/>
          <w:bCs/>
          <w:color w:val="20124D"/>
          <w:sz w:val="56"/>
          <w:szCs w:val="56"/>
        </w:rPr>
        <w:br/>
        <w:t xml:space="preserve"> </w:t>
      </w:r>
      <w:r>
        <w:rPr>
          <w:rFonts w:ascii="Roboto" w:eastAsia="Roboto" w:hAnsi="Roboto" w:cs="Roboto"/>
          <w:b/>
          <w:bCs/>
          <w:noProof/>
          <w:color w:val="20124D"/>
          <w:sz w:val="56"/>
          <w:szCs w:val="56"/>
        </w:rPr>
        <w:drawing>
          <wp:inline distT="114300" distB="114300" distL="114300" distR="114300" wp14:anchorId="629D65BE" wp14:editId="4B551505">
            <wp:extent cx="3341952" cy="457320"/>
            <wp:effectExtent l="0" t="0" r="0" b="0"/>
            <wp:docPr id="1" name="image1.png" descr="California Community Colleges California Virtual Campus"/>
            <wp:cNvGraphicFramePr/>
            <a:graphic xmlns:a="http://schemas.openxmlformats.org/drawingml/2006/main">
              <a:graphicData uri="http://schemas.openxmlformats.org/drawingml/2006/picture">
                <pic:pic xmlns:pic="http://schemas.openxmlformats.org/drawingml/2006/picture">
                  <pic:nvPicPr>
                    <pic:cNvPr id="0" name="image1.png" descr="California Community Colleges California Virtual Campus"/>
                    <pic:cNvPicPr preferRelativeResize="0"/>
                  </pic:nvPicPr>
                  <pic:blipFill>
                    <a:blip r:embed="rId11"/>
                    <a:srcRect/>
                    <a:stretch>
                      <a:fillRect/>
                    </a:stretch>
                  </pic:blipFill>
                  <pic:spPr>
                    <a:xfrm>
                      <a:off x="0" y="0"/>
                      <a:ext cx="3341952" cy="457320"/>
                    </a:xfrm>
                    <a:prstGeom prst="rect">
                      <a:avLst/>
                    </a:prstGeom>
                    <a:ln/>
                  </pic:spPr>
                </pic:pic>
              </a:graphicData>
            </a:graphic>
          </wp:inline>
        </w:drawing>
      </w:r>
    </w:p>
    <w:p w14:paraId="5D569588" w14:textId="77777777" w:rsidR="00594865" w:rsidRDefault="0009704C">
      <w:pPr>
        <w:pStyle w:val="Heading1"/>
        <w:keepNext w:val="0"/>
        <w:keepLines w:val="0"/>
        <w:spacing w:before="0" w:after="0" w:line="240" w:lineRule="auto"/>
        <w:jc w:val="center"/>
        <w:rPr>
          <w:rFonts w:ascii="Roboto" w:eastAsia="Roboto" w:hAnsi="Roboto" w:cs="Roboto"/>
          <w:b/>
          <w:bCs/>
          <w:color w:val="20124D"/>
          <w:sz w:val="82"/>
          <w:szCs w:val="82"/>
        </w:rPr>
      </w:pPr>
      <w:bookmarkStart w:id="1" w:name="_heading=h.snkf5p6ov6sc" w:colFirst="0" w:colLast="0"/>
      <w:bookmarkEnd w:id="1"/>
      <w:r>
        <w:rPr>
          <w:rFonts w:ascii="Roboto" w:eastAsia="Roboto" w:hAnsi="Roboto" w:cs="Roboto"/>
          <w:b/>
          <w:bCs/>
          <w:color w:val="20124D"/>
          <w:sz w:val="82"/>
          <w:szCs w:val="82"/>
        </w:rPr>
        <w:t>Online Course Design Rubric</w:t>
      </w:r>
    </w:p>
    <w:p w14:paraId="5DB35919" w14:textId="77777777" w:rsidR="00594865" w:rsidRDefault="00594865">
      <w:pPr>
        <w:pStyle w:val="Heading1"/>
        <w:keepNext w:val="0"/>
        <w:keepLines w:val="0"/>
        <w:spacing w:before="0" w:after="0" w:line="240" w:lineRule="auto"/>
        <w:jc w:val="center"/>
        <w:rPr>
          <w:rFonts w:ascii="Roboto" w:eastAsia="Roboto" w:hAnsi="Roboto" w:cs="Roboto"/>
          <w:b/>
          <w:bCs/>
          <w:color w:val="20124D"/>
          <w:sz w:val="56"/>
          <w:szCs w:val="56"/>
        </w:rPr>
      </w:pPr>
      <w:bookmarkStart w:id="2" w:name="_heading=h.ckd2mbwptzhe" w:colFirst="0" w:colLast="0"/>
      <w:bookmarkEnd w:id="2"/>
    </w:p>
    <w:p w14:paraId="446DF3FE" w14:textId="77777777" w:rsidR="00594865" w:rsidRDefault="0009704C">
      <w:pPr>
        <w:pStyle w:val="Heading1"/>
        <w:keepNext w:val="0"/>
        <w:keepLines w:val="0"/>
        <w:spacing w:before="0" w:after="200"/>
        <w:jc w:val="center"/>
        <w:rPr>
          <w:rFonts w:ascii="Roboto" w:eastAsia="Roboto" w:hAnsi="Roboto" w:cs="Roboto"/>
          <w:b/>
          <w:bCs/>
          <w:color w:val="20124D"/>
          <w:sz w:val="56"/>
          <w:szCs w:val="56"/>
        </w:rPr>
      </w:pPr>
      <w:bookmarkStart w:id="3" w:name="_heading=h.mxipvf62pqom" w:colFirst="0" w:colLast="0"/>
      <w:bookmarkEnd w:id="3"/>
      <w:r>
        <w:rPr>
          <w:rFonts w:ascii="Roboto" w:eastAsia="Roboto" w:hAnsi="Roboto" w:cs="Roboto"/>
          <w:b/>
          <w:bCs/>
          <w:color w:val="20124D"/>
          <w:sz w:val="56"/>
          <w:szCs w:val="56"/>
        </w:rPr>
        <w:br/>
      </w:r>
    </w:p>
    <w:p w14:paraId="49361DEE" w14:textId="77777777" w:rsidR="00594865" w:rsidRDefault="0009704C">
      <w:pPr>
        <w:pStyle w:val="Heading1"/>
        <w:keepNext w:val="0"/>
        <w:keepLines w:val="0"/>
        <w:spacing w:before="0" w:after="200"/>
        <w:jc w:val="center"/>
        <w:rPr>
          <w:rFonts w:ascii="Roboto" w:eastAsia="Roboto" w:hAnsi="Roboto" w:cs="Roboto"/>
          <w:b/>
          <w:bCs/>
          <w:i/>
          <w:iCs/>
          <w:color w:val="20124D"/>
          <w:sz w:val="28"/>
          <w:szCs w:val="28"/>
        </w:rPr>
      </w:pPr>
      <w:bookmarkStart w:id="4" w:name="_heading=h.vk256senqdn1" w:colFirst="0" w:colLast="0"/>
      <w:bookmarkEnd w:id="4"/>
      <w:r>
        <w:rPr>
          <w:rFonts w:ascii="Roboto" w:eastAsia="Roboto" w:hAnsi="Roboto" w:cs="Roboto"/>
          <w:b/>
          <w:bCs/>
          <w:color w:val="20124D"/>
          <w:sz w:val="28"/>
          <w:szCs w:val="28"/>
        </w:rPr>
        <w:t xml:space="preserve"> Sections 1–4 with Accessibility Verification</w:t>
      </w:r>
      <w:r>
        <w:rPr>
          <w:rFonts w:ascii="Roboto" w:eastAsia="Roboto" w:hAnsi="Roboto" w:cs="Roboto"/>
          <w:b/>
          <w:bCs/>
          <w:color w:val="20124D"/>
          <w:sz w:val="28"/>
          <w:szCs w:val="28"/>
        </w:rPr>
        <w:br/>
      </w:r>
      <w:r>
        <w:rPr>
          <w:rFonts w:ascii="Roboto" w:eastAsia="Roboto" w:hAnsi="Roboto" w:cs="Roboto"/>
          <w:b/>
          <w:bCs/>
          <w:i/>
          <w:iCs/>
          <w:color w:val="20124D"/>
          <w:sz w:val="28"/>
          <w:szCs w:val="28"/>
        </w:rPr>
        <w:t>June 2027</w:t>
      </w:r>
    </w:p>
    <w:p w14:paraId="3C271851" w14:textId="77777777" w:rsidR="00594865" w:rsidRDefault="0009704C">
      <w:pPr>
        <w:pStyle w:val="Heading2"/>
        <w:keepNext w:val="0"/>
        <w:keepLines w:val="0"/>
        <w:spacing w:before="480"/>
        <w:jc w:val="center"/>
        <w:rPr>
          <w:color w:val="0066BA"/>
          <w:sz w:val="46"/>
          <w:szCs w:val="46"/>
        </w:rPr>
      </w:pPr>
      <w:bookmarkStart w:id="5" w:name="_heading=h.17cod47d4hcc" w:colFirst="0" w:colLast="0"/>
      <w:bookmarkEnd w:id="5"/>
      <w:r>
        <w:br w:type="page"/>
      </w:r>
      <w:r>
        <w:rPr>
          <w:color w:val="0066BA"/>
          <w:sz w:val="46"/>
          <w:szCs w:val="46"/>
        </w:rPr>
        <w:lastRenderedPageBreak/>
        <w:t>Table of Contents</w:t>
      </w:r>
    </w:p>
    <w:p w14:paraId="42DCA1A2" w14:textId="77777777" w:rsidR="00594865" w:rsidRDefault="0009704C">
      <w:pPr>
        <w:spacing w:after="200"/>
        <w:rPr>
          <w:sz w:val="28"/>
          <w:szCs w:val="28"/>
        </w:rPr>
      </w:pPr>
      <w:r>
        <w:rPr>
          <w:sz w:val="28"/>
          <w:szCs w:val="28"/>
        </w:rPr>
        <w:t>Accessibility Expectation</w:t>
      </w:r>
    </w:p>
    <w:p w14:paraId="2531A543" w14:textId="77777777" w:rsidR="00594865" w:rsidRDefault="0009704C">
      <w:pPr>
        <w:spacing w:after="200"/>
        <w:rPr>
          <w:sz w:val="28"/>
          <w:szCs w:val="28"/>
        </w:rPr>
      </w:pPr>
      <w:r>
        <w:rPr>
          <w:sz w:val="28"/>
          <w:szCs w:val="28"/>
        </w:rPr>
        <w:t>Section 1: Policies &amp; Support</w:t>
      </w:r>
    </w:p>
    <w:p w14:paraId="7C9DB3E8" w14:textId="77777777" w:rsidR="00594865" w:rsidRDefault="0009704C">
      <w:pPr>
        <w:spacing w:after="200"/>
        <w:rPr>
          <w:sz w:val="28"/>
          <w:szCs w:val="28"/>
        </w:rPr>
      </w:pPr>
      <w:r>
        <w:rPr>
          <w:sz w:val="28"/>
          <w:szCs w:val="28"/>
        </w:rPr>
        <w:t>Section 2: Course Structure</w:t>
      </w:r>
    </w:p>
    <w:p w14:paraId="490BD0CE" w14:textId="77777777" w:rsidR="00594865" w:rsidRDefault="0009704C">
      <w:pPr>
        <w:spacing w:after="200"/>
        <w:rPr>
          <w:sz w:val="28"/>
          <w:szCs w:val="28"/>
        </w:rPr>
      </w:pPr>
      <w:r>
        <w:rPr>
          <w:sz w:val="28"/>
          <w:szCs w:val="28"/>
        </w:rPr>
        <w:t>Section 3: Regular &amp; Substantive Interaction (RSI)</w:t>
      </w:r>
    </w:p>
    <w:p w14:paraId="65563C89" w14:textId="77777777" w:rsidR="00594865" w:rsidRDefault="0009704C">
      <w:pPr>
        <w:spacing w:after="200"/>
        <w:rPr>
          <w:sz w:val="28"/>
          <w:szCs w:val="28"/>
        </w:rPr>
      </w:pPr>
      <w:r>
        <w:rPr>
          <w:sz w:val="28"/>
          <w:szCs w:val="28"/>
        </w:rPr>
        <w:t>Section 4: Assessments</w:t>
      </w:r>
    </w:p>
    <w:p w14:paraId="385D3B79" w14:textId="77777777" w:rsidR="00594865" w:rsidRDefault="0009704C" w:rsidP="5C96F7FE">
      <w:pPr>
        <w:pStyle w:val="Heading2"/>
        <w:spacing w:after="200"/>
        <w:rPr>
          <w:color w:val="0066BA"/>
          <w:lang w:val="en-US"/>
        </w:rPr>
      </w:pPr>
      <w:bookmarkStart w:id="6" w:name="_heading=h.py05zrg83tf6"/>
      <w:bookmarkEnd w:id="6"/>
      <w:r w:rsidRPr="5C96F7FE">
        <w:rPr>
          <w:sz w:val="28"/>
          <w:szCs w:val="28"/>
          <w:lang w:val="en-US"/>
        </w:rPr>
        <w:t>Accessibility Verification</w:t>
      </w:r>
      <w:r w:rsidRPr="5C96F7FE">
        <w:rPr>
          <w:lang w:val="en-US"/>
        </w:rPr>
        <w:br w:type="page"/>
      </w:r>
      <w:r w:rsidRPr="5C96F7FE">
        <w:rPr>
          <w:color w:val="0066BA"/>
          <w:lang w:val="en-US"/>
        </w:rPr>
        <w:lastRenderedPageBreak/>
        <w:t>Accessibility Expectation</w:t>
      </w:r>
    </w:p>
    <w:p w14:paraId="6BBF536B" w14:textId="77777777" w:rsidR="00594865" w:rsidRDefault="0009704C">
      <w:pPr>
        <w:spacing w:after="200"/>
        <w:rPr>
          <w:rFonts w:ascii="Roboto" w:eastAsia="Roboto" w:hAnsi="Roboto" w:cs="Roboto"/>
        </w:rPr>
      </w:pPr>
      <w:r>
        <w:rPr>
          <w:rFonts w:ascii="Roboto" w:eastAsia="Roboto" w:hAnsi="Roboto" w:cs="Roboto"/>
        </w:rPr>
        <w:t>Courses reviewed using this rubric are expected to meet all applicable federal and state digital accessibility requirements. If a course relies on third‑party technologies, publisher content, or Open Educational Resources (OER) materials that are not accessible by default, those materials must be remediated or an accessible alternative provided before review begins.</w:t>
      </w:r>
    </w:p>
    <w:p w14:paraId="25F00E22" w14:textId="77777777" w:rsidR="00594865" w:rsidRDefault="0009704C">
      <w:pPr>
        <w:spacing w:after="200"/>
        <w:rPr>
          <w:rFonts w:ascii="Roboto" w:eastAsia="Roboto" w:hAnsi="Roboto" w:cs="Roboto"/>
        </w:rPr>
      </w:pPr>
      <w:r>
        <w:rPr>
          <w:rFonts w:ascii="Roboto" w:eastAsia="Roboto" w:hAnsi="Roboto" w:cs="Roboto"/>
        </w:rPr>
        <w:t>Note: To be marked as Exceptional, an element must first meet all expectations in the Aligned column.</w:t>
      </w:r>
    </w:p>
    <w:p w14:paraId="055AF52A" w14:textId="77777777" w:rsidR="00594865" w:rsidRDefault="00594865">
      <w:pPr>
        <w:rPr>
          <w:rFonts w:ascii="Roboto" w:eastAsia="Roboto" w:hAnsi="Roboto" w:cs="Roboto"/>
        </w:rPr>
      </w:pPr>
    </w:p>
    <w:p w14:paraId="0D7BF253" w14:textId="77777777" w:rsidR="00594865" w:rsidRDefault="00594865">
      <w:pPr>
        <w:rPr>
          <w:rFonts w:ascii="Roboto" w:eastAsia="Roboto" w:hAnsi="Roboto" w:cs="Roboto"/>
        </w:rPr>
      </w:pPr>
    </w:p>
    <w:p w14:paraId="670C181E" w14:textId="77777777" w:rsidR="00594865" w:rsidRDefault="0009704C">
      <w:pPr>
        <w:rPr>
          <w:rFonts w:ascii="Roboto" w:eastAsia="Roboto" w:hAnsi="Roboto" w:cs="Roboto"/>
        </w:rPr>
      </w:pPr>
      <w:r>
        <w:br w:type="page"/>
      </w:r>
    </w:p>
    <w:p w14:paraId="5606190E" w14:textId="77777777" w:rsidR="00594865" w:rsidRDefault="0009704C">
      <w:pPr>
        <w:pStyle w:val="Heading2"/>
        <w:keepNext w:val="0"/>
        <w:keepLines w:val="0"/>
        <w:spacing w:before="480"/>
      </w:pPr>
      <w:bookmarkStart w:id="7" w:name="_heading=h.xsw1vy1128jw" w:colFirst="0" w:colLast="0"/>
      <w:bookmarkEnd w:id="7"/>
      <w:r>
        <w:lastRenderedPageBreak/>
        <w:t>Section 1: Policies &amp; Support</w:t>
      </w:r>
    </w:p>
    <w:p w14:paraId="02355925" w14:textId="53A99C9C" w:rsidR="00A33387" w:rsidRPr="00A33387" w:rsidRDefault="00A33387" w:rsidP="00A33387">
      <w:r>
        <w:rPr>
          <w:rFonts w:ascii="Roboto" w:eastAsia="Roboto" w:hAnsi="Roboto" w:cs="Roboto"/>
          <w:i/>
          <w:iCs/>
        </w:rPr>
        <w:t>Note: To be marked as</w:t>
      </w:r>
      <w:r>
        <w:rPr>
          <w:rFonts w:ascii="Roboto" w:eastAsia="Roboto" w:hAnsi="Roboto" w:cs="Roboto"/>
          <w:b/>
          <w:bCs/>
          <w:i/>
          <w:iCs/>
        </w:rPr>
        <w:t xml:space="preserve"> Exceptional</w:t>
      </w:r>
      <w:r>
        <w:rPr>
          <w:rFonts w:ascii="Roboto" w:eastAsia="Roboto" w:hAnsi="Roboto" w:cs="Roboto"/>
          <w:i/>
          <w:iCs/>
        </w:rPr>
        <w:t>, the element must first meet all expectations described in the Aligned level. The higher rating reflects design choices that go beyond the baseline to further support student learning, engagement, and access.</w:t>
      </w:r>
    </w:p>
    <w:tbl>
      <w:tblPr>
        <w:tblStyle w:val="a"/>
        <w:tblW w:w="127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80" w:firstRow="0" w:lastRow="0" w:firstColumn="1" w:lastColumn="0" w:noHBand="1" w:noVBand="1"/>
      </w:tblPr>
      <w:tblGrid>
        <w:gridCol w:w="1700"/>
        <w:gridCol w:w="1530"/>
        <w:gridCol w:w="1800"/>
        <w:gridCol w:w="3310"/>
        <w:gridCol w:w="4380"/>
      </w:tblGrid>
      <w:tr w:rsidR="00594865" w14:paraId="6AF766D8" w14:textId="77777777" w:rsidTr="5C96F7FE">
        <w:trPr>
          <w:trHeight w:val="420"/>
          <w:tblHeader/>
        </w:trPr>
        <w:tc>
          <w:tcPr>
            <w:tcW w:w="1700" w:type="dxa"/>
            <w:tcMar>
              <w:top w:w="100" w:type="dxa"/>
              <w:left w:w="100" w:type="dxa"/>
              <w:bottom w:w="100" w:type="dxa"/>
              <w:right w:w="100" w:type="dxa"/>
            </w:tcMar>
          </w:tcPr>
          <w:p w14:paraId="573CFDCC" w14:textId="77777777" w:rsidR="00594865" w:rsidRDefault="0009704C">
            <w:pPr>
              <w:widowControl w:val="0"/>
              <w:spacing w:line="240" w:lineRule="auto"/>
              <w:rPr>
                <w:rFonts w:ascii="Roboto" w:eastAsia="Roboto" w:hAnsi="Roboto" w:cs="Roboto"/>
                <w:b/>
                <w:bCs/>
              </w:rPr>
            </w:pPr>
            <w:r>
              <w:rPr>
                <w:rFonts w:ascii="Roboto" w:eastAsia="Roboto" w:hAnsi="Roboto" w:cs="Roboto"/>
                <w:b/>
                <w:bCs/>
              </w:rPr>
              <w:t>Rubric Element</w:t>
            </w:r>
          </w:p>
        </w:tc>
        <w:tc>
          <w:tcPr>
            <w:tcW w:w="1530" w:type="dxa"/>
            <w:tcMar>
              <w:top w:w="100" w:type="dxa"/>
              <w:left w:w="100" w:type="dxa"/>
              <w:bottom w:w="100" w:type="dxa"/>
              <w:right w:w="100" w:type="dxa"/>
            </w:tcMar>
          </w:tcPr>
          <w:p w14:paraId="59E165F5" w14:textId="77777777" w:rsidR="00594865" w:rsidRDefault="0009704C">
            <w:pPr>
              <w:widowControl w:val="0"/>
              <w:spacing w:line="240" w:lineRule="auto"/>
              <w:rPr>
                <w:rFonts w:ascii="Roboto" w:eastAsia="Roboto" w:hAnsi="Roboto" w:cs="Roboto"/>
                <w:b/>
                <w:bCs/>
              </w:rPr>
            </w:pPr>
            <w:r>
              <w:rPr>
                <w:rFonts w:ascii="Roboto" w:eastAsia="Roboto" w:hAnsi="Roboto" w:cs="Roboto"/>
                <w:b/>
                <w:bCs/>
              </w:rPr>
              <w:t>Incomplete</w:t>
            </w:r>
          </w:p>
        </w:tc>
        <w:tc>
          <w:tcPr>
            <w:tcW w:w="1800" w:type="dxa"/>
            <w:tcMar>
              <w:top w:w="100" w:type="dxa"/>
              <w:left w:w="100" w:type="dxa"/>
              <w:bottom w:w="100" w:type="dxa"/>
              <w:right w:w="100" w:type="dxa"/>
            </w:tcMar>
          </w:tcPr>
          <w:p w14:paraId="37114298" w14:textId="77777777" w:rsidR="00594865" w:rsidRDefault="0009704C">
            <w:pPr>
              <w:widowControl w:val="0"/>
              <w:spacing w:line="240" w:lineRule="auto"/>
              <w:rPr>
                <w:rFonts w:ascii="Roboto" w:eastAsia="Roboto" w:hAnsi="Roboto" w:cs="Roboto"/>
                <w:b/>
                <w:bCs/>
              </w:rPr>
            </w:pPr>
            <w:r>
              <w:rPr>
                <w:rFonts w:ascii="Roboto" w:eastAsia="Roboto" w:hAnsi="Roboto" w:cs="Roboto"/>
                <w:b/>
                <w:bCs/>
              </w:rPr>
              <w:t>Approaching Alignment</w:t>
            </w:r>
          </w:p>
        </w:tc>
        <w:tc>
          <w:tcPr>
            <w:tcW w:w="3310" w:type="dxa"/>
            <w:tcMar>
              <w:top w:w="100" w:type="dxa"/>
              <w:left w:w="100" w:type="dxa"/>
              <w:bottom w:w="100" w:type="dxa"/>
              <w:right w:w="100" w:type="dxa"/>
            </w:tcMar>
          </w:tcPr>
          <w:p w14:paraId="2C348BD9" w14:textId="77777777" w:rsidR="00594865" w:rsidRDefault="0009704C">
            <w:pPr>
              <w:widowControl w:val="0"/>
              <w:spacing w:line="240" w:lineRule="auto"/>
              <w:rPr>
                <w:rFonts w:ascii="Roboto" w:eastAsia="Roboto" w:hAnsi="Roboto" w:cs="Roboto"/>
                <w:b/>
                <w:bCs/>
              </w:rPr>
            </w:pPr>
            <w:r>
              <w:rPr>
                <w:rFonts w:ascii="Roboto" w:eastAsia="Roboto" w:hAnsi="Roboto" w:cs="Roboto"/>
                <w:b/>
                <w:bCs/>
              </w:rPr>
              <w:t>Aligned</w:t>
            </w:r>
          </w:p>
        </w:tc>
        <w:tc>
          <w:tcPr>
            <w:tcW w:w="4380" w:type="dxa"/>
            <w:tcMar>
              <w:top w:w="100" w:type="dxa"/>
              <w:left w:w="100" w:type="dxa"/>
              <w:bottom w:w="100" w:type="dxa"/>
              <w:right w:w="100" w:type="dxa"/>
            </w:tcMar>
          </w:tcPr>
          <w:p w14:paraId="76E5DA5F" w14:textId="77777777" w:rsidR="00594865" w:rsidRDefault="0009704C">
            <w:pPr>
              <w:widowControl w:val="0"/>
              <w:spacing w:line="240" w:lineRule="auto"/>
              <w:rPr>
                <w:rFonts w:ascii="Roboto" w:eastAsia="Roboto" w:hAnsi="Roboto" w:cs="Roboto"/>
                <w:b/>
                <w:bCs/>
              </w:rPr>
            </w:pPr>
            <w:r>
              <w:rPr>
                <w:rFonts w:ascii="Roboto" w:eastAsia="Roboto" w:hAnsi="Roboto" w:cs="Roboto"/>
                <w:b/>
                <w:bCs/>
              </w:rPr>
              <w:t>Exceptional</w:t>
            </w:r>
          </w:p>
        </w:tc>
      </w:tr>
      <w:tr w:rsidR="00594865" w14:paraId="0C228F45" w14:textId="77777777" w:rsidTr="5C96F7FE">
        <w:trPr>
          <w:trHeight w:val="420"/>
        </w:trPr>
        <w:tc>
          <w:tcPr>
            <w:tcW w:w="1700" w:type="dxa"/>
            <w:tcMar>
              <w:top w:w="100" w:type="dxa"/>
              <w:left w:w="100" w:type="dxa"/>
              <w:bottom w:w="100" w:type="dxa"/>
              <w:right w:w="100" w:type="dxa"/>
            </w:tcMar>
          </w:tcPr>
          <w:p w14:paraId="303161BC" w14:textId="77777777" w:rsidR="00594865" w:rsidRDefault="0009704C">
            <w:pPr>
              <w:widowControl w:val="0"/>
              <w:spacing w:line="240" w:lineRule="auto"/>
              <w:rPr>
                <w:rFonts w:ascii="Roboto" w:eastAsia="Roboto" w:hAnsi="Roboto" w:cs="Roboto"/>
              </w:rPr>
            </w:pPr>
            <w:r>
              <w:rPr>
                <w:rFonts w:ascii="Roboto" w:eastAsia="Roboto" w:hAnsi="Roboto" w:cs="Roboto"/>
              </w:rPr>
              <w:t>1.1 Course Policies</w:t>
            </w:r>
          </w:p>
        </w:tc>
        <w:tc>
          <w:tcPr>
            <w:tcW w:w="1530" w:type="dxa"/>
            <w:tcMar>
              <w:top w:w="100" w:type="dxa"/>
              <w:left w:w="100" w:type="dxa"/>
              <w:bottom w:w="100" w:type="dxa"/>
              <w:right w:w="100" w:type="dxa"/>
            </w:tcMar>
          </w:tcPr>
          <w:p w14:paraId="717F271C"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800" w:type="dxa"/>
            <w:tcMar>
              <w:top w:w="100" w:type="dxa"/>
              <w:left w:w="100" w:type="dxa"/>
              <w:bottom w:w="100" w:type="dxa"/>
              <w:right w:w="100" w:type="dxa"/>
            </w:tcMar>
          </w:tcPr>
          <w:p w14:paraId="360C57C1"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310" w:type="dxa"/>
            <w:tcMar>
              <w:top w:w="100" w:type="dxa"/>
              <w:left w:w="100" w:type="dxa"/>
              <w:bottom w:w="100" w:type="dxa"/>
              <w:right w:w="100" w:type="dxa"/>
            </w:tcMar>
          </w:tcPr>
          <w:p w14:paraId="128F6740"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Course policies that support student success, such as academic honesty, withdrawal, work submission, communication, and participation, are clearly stated and located in multiple locations.</w:t>
            </w:r>
          </w:p>
        </w:tc>
        <w:tc>
          <w:tcPr>
            <w:tcW w:w="4380" w:type="dxa"/>
            <w:tcMar>
              <w:top w:w="100" w:type="dxa"/>
              <w:left w:w="100" w:type="dxa"/>
              <w:bottom w:w="100" w:type="dxa"/>
              <w:right w:w="100" w:type="dxa"/>
            </w:tcMar>
          </w:tcPr>
          <w:p w14:paraId="2278B774"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Relevant course policies are also included within units or activities where they are most useful, helping students apply expectations as they move through the course. </w:t>
            </w:r>
          </w:p>
        </w:tc>
      </w:tr>
      <w:tr w:rsidR="00594865" w14:paraId="5356E4C4" w14:textId="77777777" w:rsidTr="5C96F7FE">
        <w:trPr>
          <w:cantSplit/>
          <w:trHeight w:val="420"/>
        </w:trPr>
        <w:tc>
          <w:tcPr>
            <w:tcW w:w="1700" w:type="dxa"/>
            <w:tcMar>
              <w:top w:w="100" w:type="dxa"/>
              <w:left w:w="100" w:type="dxa"/>
              <w:bottom w:w="100" w:type="dxa"/>
              <w:right w:w="100" w:type="dxa"/>
            </w:tcMar>
          </w:tcPr>
          <w:p w14:paraId="24DF1166" w14:textId="77777777" w:rsidR="00594865" w:rsidRDefault="0009704C">
            <w:pPr>
              <w:widowControl w:val="0"/>
              <w:spacing w:line="240" w:lineRule="auto"/>
              <w:rPr>
                <w:rFonts w:ascii="Roboto" w:eastAsia="Roboto" w:hAnsi="Roboto" w:cs="Roboto"/>
              </w:rPr>
            </w:pPr>
            <w:r>
              <w:rPr>
                <w:rFonts w:ascii="Roboto" w:eastAsia="Roboto" w:hAnsi="Roboto" w:cs="Roboto"/>
              </w:rPr>
              <w:t>1.2 Equitable Use of Technology</w:t>
            </w:r>
          </w:p>
        </w:tc>
        <w:tc>
          <w:tcPr>
            <w:tcW w:w="1530" w:type="dxa"/>
            <w:tcMar>
              <w:top w:w="100" w:type="dxa"/>
              <w:left w:w="100" w:type="dxa"/>
              <w:bottom w:w="100" w:type="dxa"/>
              <w:right w:w="100" w:type="dxa"/>
            </w:tcMar>
          </w:tcPr>
          <w:p w14:paraId="1CAB4CE6"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800" w:type="dxa"/>
            <w:tcMar>
              <w:top w:w="100" w:type="dxa"/>
              <w:left w:w="100" w:type="dxa"/>
              <w:bottom w:w="100" w:type="dxa"/>
              <w:right w:w="100" w:type="dxa"/>
            </w:tcMar>
          </w:tcPr>
          <w:p w14:paraId="72B1DB09"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310" w:type="dxa"/>
            <w:tcMar>
              <w:top w:w="100" w:type="dxa"/>
              <w:left w:w="100" w:type="dxa"/>
              <w:bottom w:w="100" w:type="dxa"/>
              <w:right w:w="100" w:type="dxa"/>
            </w:tcMar>
          </w:tcPr>
          <w:p w14:paraId="2C2CCD0D"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The instructor explains how the required technology supports learning and meets institutional accessibility requirements. The explanation provides guidance for accessing the tool and tech support.</w:t>
            </w:r>
          </w:p>
        </w:tc>
        <w:tc>
          <w:tcPr>
            <w:tcW w:w="4380" w:type="dxa"/>
            <w:tcMar>
              <w:top w:w="100" w:type="dxa"/>
              <w:left w:w="100" w:type="dxa"/>
              <w:bottom w:w="100" w:type="dxa"/>
              <w:right w:w="100" w:type="dxa"/>
            </w:tcMar>
          </w:tcPr>
          <w:p w14:paraId="4DC32B09"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The course offers flexible or alternative options when possible and appropriate to support equitable access to technology. Students are also invited to provide anonymous feedback about their technology experience to help improve access for all.</w:t>
            </w:r>
          </w:p>
        </w:tc>
      </w:tr>
      <w:tr w:rsidR="00594865" w14:paraId="78087D46" w14:textId="77777777" w:rsidTr="5C96F7FE">
        <w:trPr>
          <w:cantSplit/>
          <w:trHeight w:val="420"/>
        </w:trPr>
        <w:tc>
          <w:tcPr>
            <w:tcW w:w="1700" w:type="dxa"/>
            <w:tcMar>
              <w:top w:w="100" w:type="dxa"/>
              <w:left w:w="100" w:type="dxa"/>
              <w:bottom w:w="100" w:type="dxa"/>
              <w:right w:w="100" w:type="dxa"/>
            </w:tcMar>
          </w:tcPr>
          <w:p w14:paraId="47930DA4" w14:textId="77777777" w:rsidR="00594865" w:rsidRDefault="0009704C">
            <w:pPr>
              <w:widowControl w:val="0"/>
              <w:spacing w:line="240" w:lineRule="auto"/>
              <w:rPr>
                <w:rFonts w:ascii="Roboto" w:eastAsia="Roboto" w:hAnsi="Roboto" w:cs="Roboto"/>
              </w:rPr>
            </w:pPr>
            <w:r>
              <w:rPr>
                <w:rFonts w:ascii="Roboto" w:eastAsia="Roboto" w:hAnsi="Roboto" w:cs="Roboto"/>
              </w:rPr>
              <w:t>1.3 Artificial Intelligence (AI)</w:t>
            </w:r>
          </w:p>
        </w:tc>
        <w:tc>
          <w:tcPr>
            <w:tcW w:w="1530" w:type="dxa"/>
            <w:tcMar>
              <w:top w:w="100" w:type="dxa"/>
              <w:left w:w="100" w:type="dxa"/>
              <w:bottom w:w="100" w:type="dxa"/>
              <w:right w:w="100" w:type="dxa"/>
            </w:tcMar>
          </w:tcPr>
          <w:p w14:paraId="6F7F2FA1"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800" w:type="dxa"/>
            <w:tcMar>
              <w:top w:w="100" w:type="dxa"/>
              <w:left w:w="100" w:type="dxa"/>
              <w:bottom w:w="100" w:type="dxa"/>
              <w:right w:w="100" w:type="dxa"/>
            </w:tcMar>
          </w:tcPr>
          <w:p w14:paraId="7D5338A2"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310" w:type="dxa"/>
            <w:tcMar>
              <w:top w:w="100" w:type="dxa"/>
              <w:left w:w="100" w:type="dxa"/>
              <w:bottom w:w="100" w:type="dxa"/>
              <w:right w:w="100" w:type="dxa"/>
            </w:tcMar>
          </w:tcPr>
          <w:p w14:paraId="7CB09682"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 xml:space="preserve">A student-centered, course-specific AI policy is clearly stated, easy to find, and includes clear expectations for how AI may or may not be used in the course. The instructor explains if/how they will be using AI within the course </w:t>
            </w:r>
          </w:p>
        </w:tc>
        <w:tc>
          <w:tcPr>
            <w:tcW w:w="4380" w:type="dxa"/>
            <w:tcMar>
              <w:top w:w="100" w:type="dxa"/>
              <w:left w:w="100" w:type="dxa"/>
              <w:bottom w:w="100" w:type="dxa"/>
              <w:right w:w="100" w:type="dxa"/>
            </w:tcMar>
          </w:tcPr>
          <w:p w14:paraId="1D8AFC94"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AI guidelines and resources are integrated into specific course activities and assignments, with any instructor AI use clearly indicated.</w:t>
            </w:r>
          </w:p>
        </w:tc>
      </w:tr>
      <w:tr w:rsidR="00594865" w14:paraId="4D43048E" w14:textId="77777777" w:rsidTr="5C96F7FE">
        <w:trPr>
          <w:cantSplit/>
          <w:trHeight w:val="420"/>
        </w:trPr>
        <w:tc>
          <w:tcPr>
            <w:tcW w:w="1700" w:type="dxa"/>
            <w:tcMar>
              <w:top w:w="100" w:type="dxa"/>
              <w:left w:w="100" w:type="dxa"/>
              <w:bottom w:w="100" w:type="dxa"/>
              <w:right w:w="100" w:type="dxa"/>
            </w:tcMar>
          </w:tcPr>
          <w:p w14:paraId="78BAD984" w14:textId="77777777" w:rsidR="00594865" w:rsidRDefault="0009704C">
            <w:pPr>
              <w:widowControl w:val="0"/>
              <w:spacing w:line="240" w:lineRule="auto"/>
              <w:rPr>
                <w:rFonts w:ascii="Roboto" w:eastAsia="Roboto" w:hAnsi="Roboto" w:cs="Roboto"/>
              </w:rPr>
            </w:pPr>
            <w:r>
              <w:rPr>
                <w:rFonts w:ascii="Roboto" w:eastAsia="Roboto" w:hAnsi="Roboto" w:cs="Roboto"/>
              </w:rPr>
              <w:lastRenderedPageBreak/>
              <w:t xml:space="preserve">1.4 Data Privacy and Security </w:t>
            </w:r>
          </w:p>
        </w:tc>
        <w:tc>
          <w:tcPr>
            <w:tcW w:w="1530" w:type="dxa"/>
            <w:tcMar>
              <w:top w:w="100" w:type="dxa"/>
              <w:left w:w="100" w:type="dxa"/>
              <w:bottom w:w="100" w:type="dxa"/>
              <w:right w:w="100" w:type="dxa"/>
            </w:tcMar>
          </w:tcPr>
          <w:p w14:paraId="33379D28"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800" w:type="dxa"/>
            <w:tcMar>
              <w:top w:w="100" w:type="dxa"/>
              <w:left w:w="100" w:type="dxa"/>
              <w:bottom w:w="100" w:type="dxa"/>
              <w:right w:w="100" w:type="dxa"/>
            </w:tcMar>
          </w:tcPr>
          <w:p w14:paraId="7794D946"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310" w:type="dxa"/>
            <w:tcMar>
              <w:top w:w="100" w:type="dxa"/>
              <w:left w:w="100" w:type="dxa"/>
              <w:bottom w:w="100" w:type="dxa"/>
              <w:right w:w="100" w:type="dxa"/>
            </w:tcMar>
          </w:tcPr>
          <w:p w14:paraId="24605927" w14:textId="77777777" w:rsidR="00594865" w:rsidRDefault="0009704C">
            <w:pPr>
              <w:widowControl w:val="0"/>
              <w:spacing w:line="240" w:lineRule="auto"/>
              <w:rPr>
                <w:rFonts w:ascii="Roboto" w:eastAsia="Roboto" w:hAnsi="Roboto" w:cs="Roboto"/>
              </w:rPr>
            </w:pPr>
            <w:r>
              <w:rPr>
                <w:rFonts w:ascii="Roboto" w:eastAsia="Roboto" w:hAnsi="Roboto" w:cs="Roboto"/>
              </w:rPr>
              <w:t>The course links to institutional privacy and security policies and provides students with guidance on safe technology use and protecting their data when using course-related tools or platforms.</w:t>
            </w:r>
          </w:p>
        </w:tc>
        <w:tc>
          <w:tcPr>
            <w:tcW w:w="4380" w:type="dxa"/>
            <w:tcMar>
              <w:top w:w="100" w:type="dxa"/>
              <w:left w:w="100" w:type="dxa"/>
              <w:bottom w:w="100" w:type="dxa"/>
              <w:right w:w="100" w:type="dxa"/>
            </w:tcMar>
          </w:tcPr>
          <w:p w14:paraId="1F48F746" w14:textId="77777777" w:rsidR="00594865" w:rsidRDefault="0009704C">
            <w:pPr>
              <w:widowControl w:val="0"/>
              <w:spacing w:line="240" w:lineRule="auto"/>
              <w:rPr>
                <w:rFonts w:ascii="Roboto" w:eastAsia="Roboto" w:hAnsi="Roboto" w:cs="Roboto"/>
              </w:rPr>
            </w:pPr>
            <w:r>
              <w:rPr>
                <w:rFonts w:ascii="Roboto" w:eastAsia="Roboto" w:hAnsi="Roboto" w:cs="Roboto"/>
              </w:rPr>
              <w:t>The course provides opportunities and resources for students to understand digital privacy and data security best practices and to learn about their rights in the online learning environment. Information about how student data is collected, used, and protected is clearly communicated.</w:t>
            </w:r>
          </w:p>
        </w:tc>
      </w:tr>
      <w:tr w:rsidR="00594865" w14:paraId="343B84B8" w14:textId="77777777" w:rsidTr="5C96F7FE">
        <w:trPr>
          <w:cantSplit/>
          <w:trHeight w:val="420"/>
        </w:trPr>
        <w:tc>
          <w:tcPr>
            <w:tcW w:w="1700" w:type="dxa"/>
            <w:tcMar>
              <w:top w:w="100" w:type="dxa"/>
              <w:left w:w="100" w:type="dxa"/>
              <w:bottom w:w="100" w:type="dxa"/>
              <w:right w:w="100" w:type="dxa"/>
            </w:tcMar>
          </w:tcPr>
          <w:p w14:paraId="1F12AA68" w14:textId="77777777" w:rsidR="00594865" w:rsidRDefault="0009704C">
            <w:pPr>
              <w:widowControl w:val="0"/>
              <w:spacing w:line="240" w:lineRule="auto"/>
              <w:rPr>
                <w:rFonts w:ascii="Roboto" w:eastAsia="Roboto" w:hAnsi="Roboto" w:cs="Roboto"/>
              </w:rPr>
            </w:pPr>
            <w:r>
              <w:rPr>
                <w:rFonts w:ascii="Roboto" w:eastAsia="Roboto" w:hAnsi="Roboto" w:cs="Roboto"/>
              </w:rPr>
              <w:t>1.5 Student Resources and Support</w:t>
            </w:r>
          </w:p>
        </w:tc>
        <w:tc>
          <w:tcPr>
            <w:tcW w:w="1530" w:type="dxa"/>
            <w:tcMar>
              <w:top w:w="100" w:type="dxa"/>
              <w:left w:w="100" w:type="dxa"/>
              <w:bottom w:w="100" w:type="dxa"/>
              <w:right w:w="100" w:type="dxa"/>
            </w:tcMar>
          </w:tcPr>
          <w:p w14:paraId="2A20240F"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800" w:type="dxa"/>
            <w:tcMar>
              <w:top w:w="100" w:type="dxa"/>
              <w:left w:w="100" w:type="dxa"/>
              <w:bottom w:w="100" w:type="dxa"/>
              <w:right w:w="100" w:type="dxa"/>
            </w:tcMar>
          </w:tcPr>
          <w:p w14:paraId="2E1429D8"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310" w:type="dxa"/>
            <w:tcMar>
              <w:top w:w="100" w:type="dxa"/>
              <w:left w:w="100" w:type="dxa"/>
              <w:bottom w:w="100" w:type="dxa"/>
              <w:right w:w="100" w:type="dxa"/>
            </w:tcMar>
          </w:tcPr>
          <w:p w14:paraId="56960781"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Links to institutional support services: disability services, counseling, tutoring, library, basic needs, and technology help, are clearly labeled and easy for students to find. </w:t>
            </w:r>
          </w:p>
        </w:tc>
        <w:tc>
          <w:tcPr>
            <w:tcW w:w="4380" w:type="dxa"/>
            <w:tcMar>
              <w:top w:w="100" w:type="dxa"/>
              <w:left w:w="100" w:type="dxa"/>
              <w:bottom w:w="100" w:type="dxa"/>
              <w:right w:w="100" w:type="dxa"/>
            </w:tcMar>
          </w:tcPr>
          <w:p w14:paraId="54AAB701" w14:textId="77777777" w:rsidR="00594865" w:rsidRDefault="0009704C">
            <w:pPr>
              <w:widowControl w:val="0"/>
              <w:spacing w:line="240" w:lineRule="auto"/>
              <w:rPr>
                <w:rFonts w:ascii="Roboto" w:eastAsia="Roboto" w:hAnsi="Roboto" w:cs="Roboto"/>
              </w:rPr>
            </w:pPr>
            <w:r>
              <w:rPr>
                <w:rFonts w:ascii="Roboto" w:eastAsia="Roboto" w:hAnsi="Roboto" w:cs="Roboto"/>
              </w:rPr>
              <w:t>Institutional support resources are purposefully integrated into relevant parts of the course. The course highlights how these services can support student success and proactively reminds students to use them throughout the term.</w:t>
            </w:r>
          </w:p>
        </w:tc>
      </w:tr>
      <w:tr w:rsidR="00594865" w14:paraId="1B0BA3F1" w14:textId="77777777" w:rsidTr="5C96F7FE">
        <w:tc>
          <w:tcPr>
            <w:tcW w:w="1700" w:type="dxa"/>
            <w:tcMar>
              <w:top w:w="100" w:type="dxa"/>
              <w:left w:w="100" w:type="dxa"/>
              <w:bottom w:w="100" w:type="dxa"/>
              <w:right w:w="100" w:type="dxa"/>
            </w:tcMar>
          </w:tcPr>
          <w:p w14:paraId="6A5F5B23" w14:textId="77777777" w:rsidR="00594865" w:rsidRDefault="0009704C">
            <w:pPr>
              <w:widowControl w:val="0"/>
              <w:spacing w:line="240" w:lineRule="auto"/>
              <w:rPr>
                <w:rFonts w:ascii="Roboto" w:eastAsia="Roboto" w:hAnsi="Roboto" w:cs="Roboto"/>
              </w:rPr>
            </w:pPr>
            <w:r>
              <w:rPr>
                <w:rFonts w:ascii="Roboto" w:eastAsia="Roboto" w:hAnsi="Roboto" w:cs="Roboto"/>
              </w:rPr>
              <w:t>1.6 Learning Support</w:t>
            </w:r>
          </w:p>
        </w:tc>
        <w:tc>
          <w:tcPr>
            <w:tcW w:w="1530" w:type="dxa"/>
            <w:tcMar>
              <w:top w:w="100" w:type="dxa"/>
              <w:left w:w="100" w:type="dxa"/>
              <w:bottom w:w="100" w:type="dxa"/>
              <w:right w:w="100" w:type="dxa"/>
            </w:tcMar>
          </w:tcPr>
          <w:p w14:paraId="673834D0"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800" w:type="dxa"/>
            <w:tcMar>
              <w:top w:w="100" w:type="dxa"/>
              <w:left w:w="100" w:type="dxa"/>
              <w:bottom w:w="100" w:type="dxa"/>
              <w:right w:w="100" w:type="dxa"/>
            </w:tcMar>
          </w:tcPr>
          <w:p w14:paraId="724F0D5D"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310" w:type="dxa"/>
            <w:tcMar>
              <w:top w:w="100" w:type="dxa"/>
              <w:left w:w="100" w:type="dxa"/>
              <w:bottom w:w="100" w:type="dxa"/>
              <w:right w:w="100" w:type="dxa"/>
            </w:tcMar>
          </w:tcPr>
          <w:p w14:paraId="5DC0A803"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The course includes support resources to assist students in successfully completing assignments and activities, such as tips, reminders, or helpful resource links.</w:t>
            </w:r>
          </w:p>
        </w:tc>
        <w:tc>
          <w:tcPr>
            <w:tcW w:w="4380" w:type="dxa"/>
            <w:tcMar>
              <w:top w:w="100" w:type="dxa"/>
              <w:left w:w="100" w:type="dxa"/>
              <w:bottom w:w="100" w:type="dxa"/>
              <w:right w:w="100" w:type="dxa"/>
            </w:tcMar>
          </w:tcPr>
          <w:p w14:paraId="42FA6543"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The course also provides additional resources that allow students to explore content more deeply. These are placed within units or activities where they best support extended learning.</w:t>
            </w:r>
          </w:p>
        </w:tc>
      </w:tr>
    </w:tbl>
    <w:p w14:paraId="289D1DE8" w14:textId="77777777" w:rsidR="00594865" w:rsidRDefault="0009704C">
      <w:pPr>
        <w:rPr>
          <w:rFonts w:ascii="Roboto" w:eastAsia="Roboto" w:hAnsi="Roboto" w:cs="Roboto"/>
        </w:rPr>
      </w:pPr>
      <w:r>
        <w:br w:type="page"/>
      </w:r>
    </w:p>
    <w:p w14:paraId="2E912074" w14:textId="77777777" w:rsidR="00594865" w:rsidRDefault="0009704C">
      <w:pPr>
        <w:pStyle w:val="Heading2"/>
        <w:keepNext w:val="0"/>
        <w:keepLines w:val="0"/>
        <w:spacing w:before="480"/>
      </w:pPr>
      <w:bookmarkStart w:id="8" w:name="_heading=h.ntiw5hetum2g" w:colFirst="0" w:colLast="0"/>
      <w:bookmarkEnd w:id="8"/>
      <w:r>
        <w:lastRenderedPageBreak/>
        <w:t>Section 2: Course Structure</w:t>
      </w:r>
    </w:p>
    <w:p w14:paraId="7BF2EEA8" w14:textId="31BA9419" w:rsidR="00A33387" w:rsidRPr="00A33387" w:rsidRDefault="00A33387" w:rsidP="00A33387">
      <w:r>
        <w:rPr>
          <w:rFonts w:ascii="Roboto" w:eastAsia="Roboto" w:hAnsi="Roboto" w:cs="Roboto"/>
          <w:i/>
          <w:iCs/>
        </w:rPr>
        <w:t>Note: To be marked as</w:t>
      </w:r>
      <w:r>
        <w:rPr>
          <w:rFonts w:ascii="Roboto" w:eastAsia="Roboto" w:hAnsi="Roboto" w:cs="Roboto"/>
          <w:b/>
          <w:bCs/>
          <w:i/>
          <w:iCs/>
        </w:rPr>
        <w:t xml:space="preserve"> Exceptional</w:t>
      </w:r>
      <w:r>
        <w:rPr>
          <w:rFonts w:ascii="Roboto" w:eastAsia="Roboto" w:hAnsi="Roboto" w:cs="Roboto"/>
          <w:i/>
          <w:iCs/>
        </w:rPr>
        <w:t>, the element must first meet all expectations described in the Aligned level. The higher rating reflects design choices that go beyond the baseline to further support student learning, engagement, and access.</w:t>
      </w:r>
    </w:p>
    <w:tbl>
      <w:tblPr>
        <w:tblStyle w:val="a0"/>
        <w:tblW w:w="127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80" w:firstRow="0" w:lastRow="0" w:firstColumn="1" w:lastColumn="0" w:noHBand="1" w:noVBand="1"/>
      </w:tblPr>
      <w:tblGrid>
        <w:gridCol w:w="1575"/>
        <w:gridCol w:w="1335"/>
        <w:gridCol w:w="1485"/>
        <w:gridCol w:w="3945"/>
        <w:gridCol w:w="4380"/>
      </w:tblGrid>
      <w:tr w:rsidR="00594865" w14:paraId="12D1A2EB" w14:textId="77777777" w:rsidTr="5C96F7FE">
        <w:trPr>
          <w:trHeight w:val="420"/>
          <w:tblHeader/>
        </w:trPr>
        <w:tc>
          <w:tcPr>
            <w:tcW w:w="1575" w:type="dxa"/>
            <w:tcMar>
              <w:top w:w="100" w:type="dxa"/>
              <w:left w:w="100" w:type="dxa"/>
              <w:bottom w:w="100" w:type="dxa"/>
              <w:right w:w="100" w:type="dxa"/>
            </w:tcMar>
          </w:tcPr>
          <w:p w14:paraId="32985529" w14:textId="77777777" w:rsidR="00594865" w:rsidRDefault="0009704C">
            <w:pPr>
              <w:widowControl w:val="0"/>
              <w:spacing w:line="240" w:lineRule="auto"/>
              <w:rPr>
                <w:rFonts w:ascii="Roboto" w:eastAsia="Roboto" w:hAnsi="Roboto" w:cs="Roboto"/>
                <w:b/>
                <w:bCs/>
              </w:rPr>
            </w:pPr>
            <w:r>
              <w:rPr>
                <w:rFonts w:ascii="Roboto" w:eastAsia="Roboto" w:hAnsi="Roboto" w:cs="Roboto"/>
                <w:b/>
                <w:bCs/>
              </w:rPr>
              <w:t>Rubric Element</w:t>
            </w:r>
          </w:p>
        </w:tc>
        <w:tc>
          <w:tcPr>
            <w:tcW w:w="1335" w:type="dxa"/>
            <w:tcMar>
              <w:top w:w="100" w:type="dxa"/>
              <w:left w:w="100" w:type="dxa"/>
              <w:bottom w:w="100" w:type="dxa"/>
              <w:right w:w="100" w:type="dxa"/>
            </w:tcMar>
          </w:tcPr>
          <w:p w14:paraId="1907D82B" w14:textId="77777777" w:rsidR="00594865" w:rsidRDefault="0009704C">
            <w:pPr>
              <w:widowControl w:val="0"/>
              <w:spacing w:line="240" w:lineRule="auto"/>
              <w:rPr>
                <w:rFonts w:ascii="Roboto" w:eastAsia="Roboto" w:hAnsi="Roboto" w:cs="Roboto"/>
                <w:b/>
                <w:bCs/>
              </w:rPr>
            </w:pPr>
            <w:r>
              <w:rPr>
                <w:rFonts w:ascii="Roboto" w:eastAsia="Roboto" w:hAnsi="Roboto" w:cs="Roboto"/>
                <w:b/>
                <w:bCs/>
              </w:rPr>
              <w:t>Incomplete</w:t>
            </w:r>
          </w:p>
        </w:tc>
        <w:tc>
          <w:tcPr>
            <w:tcW w:w="1485" w:type="dxa"/>
            <w:tcMar>
              <w:top w:w="100" w:type="dxa"/>
              <w:left w:w="100" w:type="dxa"/>
              <w:bottom w:w="100" w:type="dxa"/>
              <w:right w:w="100" w:type="dxa"/>
            </w:tcMar>
          </w:tcPr>
          <w:p w14:paraId="5CFCAE07" w14:textId="77777777" w:rsidR="00594865" w:rsidRDefault="0009704C">
            <w:pPr>
              <w:widowControl w:val="0"/>
              <w:spacing w:line="240" w:lineRule="auto"/>
              <w:rPr>
                <w:rFonts w:ascii="Roboto" w:eastAsia="Roboto" w:hAnsi="Roboto" w:cs="Roboto"/>
                <w:b/>
                <w:bCs/>
              </w:rPr>
            </w:pPr>
            <w:r>
              <w:rPr>
                <w:rFonts w:ascii="Roboto" w:eastAsia="Roboto" w:hAnsi="Roboto" w:cs="Roboto"/>
                <w:b/>
                <w:bCs/>
              </w:rPr>
              <w:t>Approaching Alignment</w:t>
            </w:r>
          </w:p>
        </w:tc>
        <w:tc>
          <w:tcPr>
            <w:tcW w:w="3945" w:type="dxa"/>
            <w:tcMar>
              <w:top w:w="100" w:type="dxa"/>
              <w:left w:w="100" w:type="dxa"/>
              <w:bottom w:w="100" w:type="dxa"/>
              <w:right w:w="100" w:type="dxa"/>
            </w:tcMar>
          </w:tcPr>
          <w:p w14:paraId="64AD3C86" w14:textId="77777777" w:rsidR="00594865" w:rsidRDefault="0009704C">
            <w:pPr>
              <w:widowControl w:val="0"/>
              <w:spacing w:line="240" w:lineRule="auto"/>
              <w:rPr>
                <w:rFonts w:ascii="Roboto" w:eastAsia="Roboto" w:hAnsi="Roboto" w:cs="Roboto"/>
                <w:b/>
                <w:bCs/>
              </w:rPr>
            </w:pPr>
            <w:r>
              <w:rPr>
                <w:rFonts w:ascii="Roboto" w:eastAsia="Roboto" w:hAnsi="Roboto" w:cs="Roboto"/>
                <w:b/>
                <w:bCs/>
              </w:rPr>
              <w:t>Aligned</w:t>
            </w:r>
          </w:p>
        </w:tc>
        <w:tc>
          <w:tcPr>
            <w:tcW w:w="4380" w:type="dxa"/>
            <w:tcMar>
              <w:top w:w="100" w:type="dxa"/>
              <w:left w:w="100" w:type="dxa"/>
              <w:bottom w:w="100" w:type="dxa"/>
              <w:right w:w="100" w:type="dxa"/>
            </w:tcMar>
          </w:tcPr>
          <w:p w14:paraId="64F7D5CA" w14:textId="77777777" w:rsidR="00594865" w:rsidRDefault="0009704C">
            <w:pPr>
              <w:widowControl w:val="0"/>
              <w:spacing w:line="240" w:lineRule="auto"/>
              <w:rPr>
                <w:rFonts w:ascii="Roboto" w:eastAsia="Roboto" w:hAnsi="Roboto" w:cs="Roboto"/>
                <w:b/>
                <w:bCs/>
              </w:rPr>
            </w:pPr>
            <w:r>
              <w:rPr>
                <w:rFonts w:ascii="Roboto" w:eastAsia="Roboto" w:hAnsi="Roboto" w:cs="Roboto"/>
                <w:b/>
                <w:bCs/>
              </w:rPr>
              <w:t>Exceptional</w:t>
            </w:r>
          </w:p>
        </w:tc>
      </w:tr>
      <w:tr w:rsidR="00594865" w14:paraId="6054A183" w14:textId="77777777" w:rsidTr="5C96F7FE">
        <w:tc>
          <w:tcPr>
            <w:tcW w:w="1575" w:type="dxa"/>
            <w:tcMar>
              <w:top w:w="100" w:type="dxa"/>
              <w:left w:w="100" w:type="dxa"/>
              <w:bottom w:w="100" w:type="dxa"/>
              <w:right w:w="100" w:type="dxa"/>
            </w:tcMar>
          </w:tcPr>
          <w:p w14:paraId="0F63C081" w14:textId="77777777" w:rsidR="00594865" w:rsidRDefault="0009704C" w:rsidP="5C96F7FE">
            <w:pPr>
              <w:widowControl w:val="0"/>
              <w:spacing w:line="240" w:lineRule="auto"/>
              <w:rPr>
                <w:rFonts w:ascii="Roboto" w:eastAsia="Roboto" w:hAnsi="Roboto" w:cs="Roboto"/>
                <w:lang w:val="en-US"/>
              </w:rPr>
            </w:pPr>
            <w:proofErr w:type="gramStart"/>
            <w:r w:rsidRPr="5C96F7FE">
              <w:rPr>
                <w:rFonts w:ascii="Roboto" w:eastAsia="Roboto" w:hAnsi="Roboto" w:cs="Roboto"/>
                <w:lang w:val="en-US"/>
              </w:rPr>
              <w:t>2.1  Structure</w:t>
            </w:r>
            <w:proofErr w:type="gramEnd"/>
            <w:r w:rsidRPr="5C96F7FE">
              <w:rPr>
                <w:rFonts w:ascii="Roboto" w:eastAsia="Roboto" w:hAnsi="Roboto" w:cs="Roboto"/>
                <w:lang w:val="en-US"/>
              </w:rPr>
              <w:t xml:space="preserve"> and Navigation</w:t>
            </w:r>
          </w:p>
        </w:tc>
        <w:tc>
          <w:tcPr>
            <w:tcW w:w="1335" w:type="dxa"/>
            <w:tcMar>
              <w:top w:w="100" w:type="dxa"/>
              <w:left w:w="100" w:type="dxa"/>
              <w:bottom w:w="100" w:type="dxa"/>
              <w:right w:w="100" w:type="dxa"/>
            </w:tcMar>
          </w:tcPr>
          <w:p w14:paraId="00DCD202"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485" w:type="dxa"/>
            <w:tcMar>
              <w:top w:w="100" w:type="dxa"/>
              <w:left w:w="100" w:type="dxa"/>
              <w:bottom w:w="100" w:type="dxa"/>
              <w:right w:w="100" w:type="dxa"/>
            </w:tcMar>
          </w:tcPr>
          <w:p w14:paraId="32715298"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407A7014" w14:textId="77777777" w:rsidR="00594865" w:rsidRDefault="0009704C">
            <w:pPr>
              <w:widowControl w:val="0"/>
              <w:spacing w:line="240" w:lineRule="auto"/>
              <w:rPr>
                <w:rFonts w:ascii="Roboto" w:eastAsia="Roboto" w:hAnsi="Roboto" w:cs="Roboto"/>
              </w:rPr>
            </w:pPr>
            <w:r>
              <w:rPr>
                <w:rFonts w:ascii="Roboto" w:eastAsia="Roboto" w:hAnsi="Roboto" w:cs="Roboto"/>
              </w:rPr>
              <w:t>Canvas tools and modules are used in a consistent way to organize content and help students move through the course. The course has a clear structure that is easy to navigate and uses accessible navigation and formatting practices.</w:t>
            </w:r>
          </w:p>
        </w:tc>
        <w:tc>
          <w:tcPr>
            <w:tcW w:w="4380" w:type="dxa"/>
            <w:tcMar>
              <w:top w:w="100" w:type="dxa"/>
              <w:left w:w="100" w:type="dxa"/>
              <w:bottom w:w="100" w:type="dxa"/>
              <w:right w:w="100" w:type="dxa"/>
            </w:tcMar>
          </w:tcPr>
          <w:p w14:paraId="342A92F5"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The course is designed to be inclusive and easy to navigate across multiple devices, as appropriate. There are helpful technology recommendations throughout the course.</w:t>
            </w:r>
          </w:p>
        </w:tc>
      </w:tr>
      <w:tr w:rsidR="00594865" w14:paraId="2E547516" w14:textId="77777777" w:rsidTr="5C96F7FE">
        <w:trPr>
          <w:cantSplit/>
        </w:trPr>
        <w:tc>
          <w:tcPr>
            <w:tcW w:w="1575" w:type="dxa"/>
            <w:tcMar>
              <w:top w:w="100" w:type="dxa"/>
              <w:left w:w="100" w:type="dxa"/>
              <w:bottom w:w="100" w:type="dxa"/>
              <w:right w:w="100" w:type="dxa"/>
            </w:tcMar>
          </w:tcPr>
          <w:p w14:paraId="29C4F6A2" w14:textId="77777777" w:rsidR="00594865" w:rsidRDefault="0009704C">
            <w:pPr>
              <w:widowControl w:val="0"/>
              <w:spacing w:line="240" w:lineRule="auto"/>
              <w:rPr>
                <w:rFonts w:ascii="Roboto" w:eastAsia="Roboto" w:hAnsi="Roboto" w:cs="Roboto"/>
              </w:rPr>
            </w:pPr>
            <w:r>
              <w:rPr>
                <w:rFonts w:ascii="Roboto" w:eastAsia="Roboto" w:hAnsi="Roboto" w:cs="Roboto"/>
              </w:rPr>
              <w:t>2.2 Module Objectives</w:t>
            </w:r>
          </w:p>
        </w:tc>
        <w:tc>
          <w:tcPr>
            <w:tcW w:w="1335" w:type="dxa"/>
            <w:tcMar>
              <w:top w:w="100" w:type="dxa"/>
              <w:left w:w="100" w:type="dxa"/>
              <w:bottom w:w="100" w:type="dxa"/>
              <w:right w:w="100" w:type="dxa"/>
            </w:tcMar>
          </w:tcPr>
          <w:p w14:paraId="043668BE"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485" w:type="dxa"/>
            <w:tcMar>
              <w:top w:w="100" w:type="dxa"/>
              <w:left w:w="100" w:type="dxa"/>
              <w:bottom w:w="100" w:type="dxa"/>
              <w:right w:w="100" w:type="dxa"/>
            </w:tcMar>
          </w:tcPr>
          <w:p w14:paraId="365CE3DE"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249E80E2"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Module learning objectives are consistently placed and describe specific, measurable outcomes that align to the course-level objectives.</w:t>
            </w:r>
          </w:p>
        </w:tc>
        <w:tc>
          <w:tcPr>
            <w:tcW w:w="4380" w:type="dxa"/>
            <w:tcMar>
              <w:top w:w="100" w:type="dxa"/>
              <w:left w:w="100" w:type="dxa"/>
              <w:bottom w:w="100" w:type="dxa"/>
              <w:right w:w="100" w:type="dxa"/>
            </w:tcMar>
          </w:tcPr>
          <w:p w14:paraId="6FC331A5"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Module objectives are written in student-centered language that clearly explains what students will be able to do, why it matters, and how it connects to future learning or real-life situations.</w:t>
            </w:r>
          </w:p>
        </w:tc>
      </w:tr>
      <w:tr w:rsidR="00594865" w14:paraId="339265A3" w14:textId="77777777" w:rsidTr="5C96F7FE">
        <w:tc>
          <w:tcPr>
            <w:tcW w:w="1575" w:type="dxa"/>
            <w:tcMar>
              <w:top w:w="100" w:type="dxa"/>
              <w:left w:w="100" w:type="dxa"/>
              <w:bottom w:w="100" w:type="dxa"/>
              <w:right w:w="100" w:type="dxa"/>
            </w:tcMar>
          </w:tcPr>
          <w:p w14:paraId="791CA747" w14:textId="77777777" w:rsidR="00594865" w:rsidRDefault="0009704C">
            <w:pPr>
              <w:widowControl w:val="0"/>
              <w:spacing w:line="240" w:lineRule="auto"/>
              <w:rPr>
                <w:rFonts w:ascii="Roboto" w:eastAsia="Roboto" w:hAnsi="Roboto" w:cs="Roboto"/>
              </w:rPr>
            </w:pPr>
            <w:r>
              <w:rPr>
                <w:rFonts w:ascii="Roboto" w:eastAsia="Roboto" w:hAnsi="Roboto" w:cs="Roboto"/>
              </w:rPr>
              <w:t>2.3 Module Alignment</w:t>
            </w:r>
          </w:p>
        </w:tc>
        <w:tc>
          <w:tcPr>
            <w:tcW w:w="1335" w:type="dxa"/>
            <w:tcMar>
              <w:top w:w="100" w:type="dxa"/>
              <w:left w:w="100" w:type="dxa"/>
              <w:bottom w:w="100" w:type="dxa"/>
              <w:right w:w="100" w:type="dxa"/>
            </w:tcMar>
          </w:tcPr>
          <w:p w14:paraId="5B4A4A46"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485" w:type="dxa"/>
            <w:tcMar>
              <w:top w:w="100" w:type="dxa"/>
              <w:left w:w="100" w:type="dxa"/>
              <w:bottom w:w="100" w:type="dxa"/>
              <w:right w:w="100" w:type="dxa"/>
            </w:tcMar>
          </w:tcPr>
          <w:p w14:paraId="4C104675"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276BC6FB"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Module content and assessments align with the module objectives and are adequate to support achievement.</w:t>
            </w:r>
          </w:p>
        </w:tc>
        <w:tc>
          <w:tcPr>
            <w:tcW w:w="4380" w:type="dxa"/>
            <w:tcMar>
              <w:top w:w="100" w:type="dxa"/>
              <w:left w:w="100" w:type="dxa"/>
              <w:bottom w:w="100" w:type="dxa"/>
              <w:right w:w="100" w:type="dxa"/>
            </w:tcMar>
          </w:tcPr>
          <w:p w14:paraId="6CBD41CE"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 xml:space="preserve">Module content and assessments are intentionally mapped to each module </w:t>
            </w:r>
            <w:proofErr w:type="gramStart"/>
            <w:r w:rsidRPr="5C96F7FE">
              <w:rPr>
                <w:rFonts w:ascii="Roboto" w:eastAsia="Roboto" w:hAnsi="Roboto" w:cs="Roboto"/>
                <w:lang w:val="en-US"/>
              </w:rPr>
              <w:t>objective</w:t>
            </w:r>
            <w:proofErr w:type="gramEnd"/>
            <w:r w:rsidRPr="5C96F7FE">
              <w:rPr>
                <w:rFonts w:ascii="Roboto" w:eastAsia="Roboto" w:hAnsi="Roboto" w:cs="Roboto"/>
                <w:lang w:val="en-US"/>
              </w:rPr>
              <w:t xml:space="preserve"> and connections are clearly explained to students</w:t>
            </w:r>
          </w:p>
        </w:tc>
      </w:tr>
      <w:tr w:rsidR="00594865" w14:paraId="56CCD129" w14:textId="77777777" w:rsidTr="5C96F7FE">
        <w:trPr>
          <w:cantSplit/>
        </w:trPr>
        <w:tc>
          <w:tcPr>
            <w:tcW w:w="1575" w:type="dxa"/>
            <w:tcMar>
              <w:top w:w="100" w:type="dxa"/>
              <w:left w:w="100" w:type="dxa"/>
              <w:bottom w:w="100" w:type="dxa"/>
              <w:right w:w="100" w:type="dxa"/>
            </w:tcMar>
          </w:tcPr>
          <w:p w14:paraId="1251E3FA" w14:textId="77777777" w:rsidR="00594865" w:rsidRDefault="0009704C">
            <w:pPr>
              <w:widowControl w:val="0"/>
              <w:spacing w:line="240" w:lineRule="auto"/>
              <w:rPr>
                <w:rFonts w:ascii="Roboto" w:eastAsia="Roboto" w:hAnsi="Roboto" w:cs="Roboto"/>
              </w:rPr>
            </w:pPr>
            <w:r>
              <w:rPr>
                <w:rFonts w:ascii="Roboto" w:eastAsia="Roboto" w:hAnsi="Roboto" w:cs="Roboto"/>
              </w:rPr>
              <w:t>2.4 Canvas Tools and Apps</w:t>
            </w:r>
          </w:p>
        </w:tc>
        <w:tc>
          <w:tcPr>
            <w:tcW w:w="1335" w:type="dxa"/>
            <w:tcMar>
              <w:top w:w="100" w:type="dxa"/>
              <w:left w:w="100" w:type="dxa"/>
              <w:bottom w:w="100" w:type="dxa"/>
              <w:right w:w="100" w:type="dxa"/>
            </w:tcMar>
          </w:tcPr>
          <w:p w14:paraId="6AA3A56A"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485" w:type="dxa"/>
            <w:tcMar>
              <w:top w:w="100" w:type="dxa"/>
              <w:left w:w="100" w:type="dxa"/>
              <w:bottom w:w="100" w:type="dxa"/>
              <w:right w:w="100" w:type="dxa"/>
            </w:tcMar>
          </w:tcPr>
          <w:p w14:paraId="230DCB2C"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63380D88"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Canvas tools and institutionally approved apps are used to ensure accessibility, reduce the labor intensity of learning, and streamline access to </w:t>
            </w:r>
            <w:proofErr w:type="gramStart"/>
            <w:r>
              <w:rPr>
                <w:rFonts w:ascii="Roboto" w:eastAsia="Roboto" w:hAnsi="Roboto" w:cs="Roboto"/>
              </w:rPr>
              <w:t>the materials</w:t>
            </w:r>
            <w:proofErr w:type="gramEnd"/>
            <w:r>
              <w:rPr>
                <w:rFonts w:ascii="Roboto" w:eastAsia="Roboto" w:hAnsi="Roboto" w:cs="Roboto"/>
              </w:rPr>
              <w:t xml:space="preserve"> and activities for students.</w:t>
            </w:r>
          </w:p>
        </w:tc>
        <w:tc>
          <w:tcPr>
            <w:tcW w:w="4380" w:type="dxa"/>
            <w:tcMar>
              <w:top w:w="100" w:type="dxa"/>
              <w:left w:w="100" w:type="dxa"/>
              <w:bottom w:w="100" w:type="dxa"/>
              <w:right w:w="100" w:type="dxa"/>
            </w:tcMar>
          </w:tcPr>
          <w:p w14:paraId="786BFD3C" w14:textId="77777777" w:rsidR="00594865" w:rsidRDefault="0009704C">
            <w:pPr>
              <w:widowControl w:val="0"/>
              <w:spacing w:line="240" w:lineRule="auto"/>
              <w:rPr>
                <w:rFonts w:ascii="Roboto" w:eastAsia="Roboto" w:hAnsi="Roboto" w:cs="Roboto"/>
              </w:rPr>
            </w:pPr>
            <w:r>
              <w:rPr>
                <w:rFonts w:ascii="Roboto" w:eastAsia="Roboto" w:hAnsi="Roboto" w:cs="Roboto"/>
              </w:rPr>
              <w:t>Canvas tools and apps are often used to support student voices and encourage connections with classmates, the college, the community, or professionals in the field.</w:t>
            </w:r>
          </w:p>
          <w:p w14:paraId="61DED70A" w14:textId="77777777" w:rsidR="00594865" w:rsidRDefault="00594865">
            <w:pPr>
              <w:widowControl w:val="0"/>
              <w:spacing w:line="240" w:lineRule="auto"/>
              <w:rPr>
                <w:rFonts w:ascii="Roboto" w:eastAsia="Roboto" w:hAnsi="Roboto" w:cs="Roboto"/>
              </w:rPr>
            </w:pPr>
          </w:p>
          <w:p w14:paraId="3CEC7838" w14:textId="77777777" w:rsidR="00594865" w:rsidRDefault="00594865">
            <w:pPr>
              <w:widowControl w:val="0"/>
              <w:spacing w:line="240" w:lineRule="auto"/>
              <w:rPr>
                <w:rFonts w:ascii="Roboto" w:eastAsia="Roboto" w:hAnsi="Roboto" w:cs="Roboto"/>
              </w:rPr>
            </w:pPr>
          </w:p>
        </w:tc>
      </w:tr>
      <w:tr w:rsidR="00594865" w14:paraId="17D6D891" w14:textId="77777777" w:rsidTr="5C96F7FE">
        <w:tc>
          <w:tcPr>
            <w:tcW w:w="1575" w:type="dxa"/>
            <w:tcMar>
              <w:top w:w="100" w:type="dxa"/>
              <w:left w:w="100" w:type="dxa"/>
              <w:bottom w:w="100" w:type="dxa"/>
              <w:right w:w="100" w:type="dxa"/>
            </w:tcMar>
          </w:tcPr>
          <w:p w14:paraId="0A81036A" w14:textId="77777777" w:rsidR="00594865" w:rsidRDefault="0009704C">
            <w:pPr>
              <w:widowControl w:val="0"/>
              <w:spacing w:line="240" w:lineRule="auto"/>
              <w:rPr>
                <w:rFonts w:ascii="Roboto" w:eastAsia="Roboto" w:hAnsi="Roboto" w:cs="Roboto"/>
              </w:rPr>
            </w:pPr>
            <w:r>
              <w:rPr>
                <w:rFonts w:ascii="Roboto" w:eastAsia="Roboto" w:hAnsi="Roboto" w:cs="Roboto"/>
              </w:rPr>
              <w:lastRenderedPageBreak/>
              <w:t>2.5 Use of Multimedia</w:t>
            </w:r>
          </w:p>
        </w:tc>
        <w:tc>
          <w:tcPr>
            <w:tcW w:w="1335" w:type="dxa"/>
            <w:tcMar>
              <w:top w:w="100" w:type="dxa"/>
              <w:left w:w="100" w:type="dxa"/>
              <w:bottom w:w="100" w:type="dxa"/>
              <w:right w:w="100" w:type="dxa"/>
            </w:tcMar>
          </w:tcPr>
          <w:p w14:paraId="126CB41B"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485" w:type="dxa"/>
            <w:tcMar>
              <w:top w:w="100" w:type="dxa"/>
              <w:left w:w="100" w:type="dxa"/>
              <w:bottom w:w="100" w:type="dxa"/>
              <w:right w:w="100" w:type="dxa"/>
            </w:tcMar>
          </w:tcPr>
          <w:p w14:paraId="6F4624EE"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39118A86" w14:textId="77777777" w:rsidR="00B939CF" w:rsidRDefault="00B939CF" w:rsidP="5C96F7FE">
            <w:pPr>
              <w:widowControl w:val="0"/>
              <w:spacing w:line="240" w:lineRule="auto"/>
              <w:rPr>
                <w:rFonts w:ascii="Roboto" w:eastAsia="Roboto" w:hAnsi="Roboto" w:cs="Roboto"/>
                <w:lang w:val="en-US"/>
              </w:rPr>
            </w:pPr>
            <w:r w:rsidRPr="5C96F7FE">
              <w:rPr>
                <w:rFonts w:ascii="Roboto" w:eastAsia="Roboto" w:hAnsi="Roboto" w:cs="Roboto"/>
                <w:lang w:val="en-US"/>
              </w:rPr>
              <w:t>The course facilitates student access to a wide range of low-burden media. These materials are used creatively and intentionally to support learning and deepen understanding.</w:t>
            </w:r>
          </w:p>
          <w:p w14:paraId="7103B658" w14:textId="046BDD32" w:rsidR="00594865" w:rsidRDefault="00594865">
            <w:pPr>
              <w:widowControl w:val="0"/>
              <w:spacing w:line="240" w:lineRule="auto"/>
              <w:rPr>
                <w:rFonts w:ascii="Roboto" w:eastAsia="Roboto" w:hAnsi="Roboto" w:cs="Roboto"/>
              </w:rPr>
            </w:pPr>
          </w:p>
        </w:tc>
        <w:tc>
          <w:tcPr>
            <w:tcW w:w="4380" w:type="dxa"/>
            <w:tcMar>
              <w:top w:w="100" w:type="dxa"/>
              <w:left w:w="100" w:type="dxa"/>
              <w:bottom w:w="100" w:type="dxa"/>
              <w:right w:w="100" w:type="dxa"/>
            </w:tcMar>
          </w:tcPr>
          <w:p w14:paraId="36773FC9" w14:textId="0B4963AC" w:rsidR="00B939CF" w:rsidRDefault="00B939CF" w:rsidP="5C96F7FE">
            <w:pPr>
              <w:widowControl w:val="0"/>
              <w:spacing w:line="240" w:lineRule="auto"/>
              <w:rPr>
                <w:rFonts w:ascii="Roboto" w:eastAsia="Roboto" w:hAnsi="Roboto" w:cs="Roboto"/>
                <w:lang w:val="en-US"/>
              </w:rPr>
            </w:pPr>
            <w:r w:rsidRPr="5C96F7FE">
              <w:rPr>
                <w:rFonts w:ascii="Roboto" w:eastAsia="Roboto" w:hAnsi="Roboto" w:cs="Roboto"/>
                <w:lang w:val="en-US"/>
              </w:rPr>
              <w:t>The course consistently uses different types of media that meet accessibility standards—such as text, audio, video, and images—to support student learning. Visuals and examples represent diverse cultural identities, lived experiences, and social contexts. If diversity is limited due to content, this is acknowledged and explained.</w:t>
            </w:r>
          </w:p>
        </w:tc>
      </w:tr>
      <w:tr w:rsidR="00594865" w14:paraId="742C39EE" w14:textId="77777777" w:rsidTr="5C96F7FE">
        <w:trPr>
          <w:cantSplit/>
        </w:trPr>
        <w:tc>
          <w:tcPr>
            <w:tcW w:w="1575" w:type="dxa"/>
            <w:tcMar>
              <w:top w:w="100" w:type="dxa"/>
              <w:left w:w="100" w:type="dxa"/>
              <w:bottom w:w="100" w:type="dxa"/>
              <w:right w:w="100" w:type="dxa"/>
            </w:tcMar>
          </w:tcPr>
          <w:p w14:paraId="283EDE49" w14:textId="77777777" w:rsidR="00594865" w:rsidRDefault="0009704C">
            <w:pPr>
              <w:widowControl w:val="0"/>
              <w:spacing w:line="240" w:lineRule="auto"/>
              <w:rPr>
                <w:rFonts w:ascii="Roboto" w:eastAsia="Roboto" w:hAnsi="Roboto" w:cs="Roboto"/>
              </w:rPr>
            </w:pPr>
            <w:r>
              <w:rPr>
                <w:rFonts w:ascii="Roboto" w:eastAsia="Roboto" w:hAnsi="Roboto" w:cs="Roboto"/>
              </w:rPr>
              <w:t>2.6 Guidance for Working with Content</w:t>
            </w:r>
          </w:p>
        </w:tc>
        <w:tc>
          <w:tcPr>
            <w:tcW w:w="1335" w:type="dxa"/>
            <w:tcMar>
              <w:top w:w="100" w:type="dxa"/>
              <w:left w:w="100" w:type="dxa"/>
              <w:bottom w:w="100" w:type="dxa"/>
              <w:right w:w="100" w:type="dxa"/>
            </w:tcMar>
          </w:tcPr>
          <w:p w14:paraId="0EE2656C"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485" w:type="dxa"/>
            <w:tcMar>
              <w:top w:w="100" w:type="dxa"/>
              <w:left w:w="100" w:type="dxa"/>
              <w:bottom w:w="100" w:type="dxa"/>
              <w:right w:w="100" w:type="dxa"/>
            </w:tcMar>
          </w:tcPr>
          <w:p w14:paraId="1E599DFA"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6F0E4D12"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 xml:space="preserve">The course provides clear instructions that guide students in engaging with content, such as prompts for </w:t>
            </w:r>
            <w:proofErr w:type="gramStart"/>
            <w:r w:rsidRPr="5C96F7FE">
              <w:rPr>
                <w:rFonts w:ascii="Roboto" w:eastAsia="Roboto" w:hAnsi="Roboto" w:cs="Roboto"/>
                <w:lang w:val="en-US"/>
              </w:rPr>
              <w:t>note-taking</w:t>
            </w:r>
            <w:proofErr w:type="gramEnd"/>
            <w:r w:rsidRPr="5C96F7FE">
              <w:rPr>
                <w:rFonts w:ascii="Roboto" w:eastAsia="Roboto" w:hAnsi="Roboto" w:cs="Roboto"/>
                <w:lang w:val="en-US"/>
              </w:rPr>
              <w:t xml:space="preserve"> during videos or guidance on what to focus on in readings.</w:t>
            </w:r>
          </w:p>
        </w:tc>
        <w:tc>
          <w:tcPr>
            <w:tcW w:w="4380" w:type="dxa"/>
            <w:tcMar>
              <w:top w:w="100" w:type="dxa"/>
              <w:left w:w="100" w:type="dxa"/>
              <w:bottom w:w="100" w:type="dxa"/>
              <w:right w:w="100" w:type="dxa"/>
            </w:tcMar>
          </w:tcPr>
          <w:p w14:paraId="12AF8FCC"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Instructions explicitly explain to students how the content supports learning. Instructions anticipate common challenges and guide students.</w:t>
            </w:r>
          </w:p>
        </w:tc>
      </w:tr>
    </w:tbl>
    <w:p w14:paraId="5FB761D6" w14:textId="77777777" w:rsidR="00594865" w:rsidRDefault="0009704C">
      <w:pPr>
        <w:rPr>
          <w:rFonts w:ascii="Roboto" w:eastAsia="Roboto" w:hAnsi="Roboto" w:cs="Roboto"/>
        </w:rPr>
      </w:pPr>
      <w:r>
        <w:br w:type="page"/>
      </w:r>
    </w:p>
    <w:p w14:paraId="19312AAF" w14:textId="77777777" w:rsidR="00594865" w:rsidRDefault="0009704C">
      <w:pPr>
        <w:pStyle w:val="Heading2"/>
        <w:widowControl w:val="0"/>
        <w:spacing w:line="240" w:lineRule="auto"/>
      </w:pPr>
      <w:bookmarkStart w:id="9" w:name="_heading=h.tkklv6ar6rje" w:colFirst="0" w:colLast="0"/>
      <w:bookmarkEnd w:id="9"/>
      <w:r>
        <w:lastRenderedPageBreak/>
        <w:t>Section 3: Regular &amp; Substantive Interaction (RSI)</w:t>
      </w:r>
    </w:p>
    <w:p w14:paraId="1E1954F1" w14:textId="4CDC6CB4" w:rsidR="00A33387" w:rsidRPr="00A33387" w:rsidRDefault="00A33387" w:rsidP="00A33387">
      <w:r>
        <w:rPr>
          <w:rFonts w:ascii="Roboto" w:eastAsia="Roboto" w:hAnsi="Roboto" w:cs="Roboto"/>
          <w:i/>
          <w:iCs/>
        </w:rPr>
        <w:t>Note: To be marked as</w:t>
      </w:r>
      <w:r>
        <w:rPr>
          <w:rFonts w:ascii="Roboto" w:eastAsia="Roboto" w:hAnsi="Roboto" w:cs="Roboto"/>
          <w:b/>
          <w:bCs/>
          <w:i/>
          <w:iCs/>
        </w:rPr>
        <w:t xml:space="preserve"> Exceptional</w:t>
      </w:r>
      <w:r>
        <w:rPr>
          <w:rFonts w:ascii="Roboto" w:eastAsia="Roboto" w:hAnsi="Roboto" w:cs="Roboto"/>
          <w:i/>
          <w:iCs/>
        </w:rPr>
        <w:t>, the element must first meet all expectations described in the Aligned level. The higher rating reflects design choices that go beyond the baseline to further support student learning, engagement, and access.</w:t>
      </w:r>
    </w:p>
    <w:tbl>
      <w:tblPr>
        <w:tblStyle w:val="a1"/>
        <w:tblW w:w="127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80" w:firstRow="0" w:lastRow="0" w:firstColumn="1" w:lastColumn="0" w:noHBand="1" w:noVBand="1"/>
      </w:tblPr>
      <w:tblGrid>
        <w:gridCol w:w="1575"/>
        <w:gridCol w:w="1335"/>
        <w:gridCol w:w="1485"/>
        <w:gridCol w:w="3945"/>
        <w:gridCol w:w="4380"/>
      </w:tblGrid>
      <w:tr w:rsidR="00594865" w14:paraId="11292479" w14:textId="77777777" w:rsidTr="5C96F7FE">
        <w:trPr>
          <w:trHeight w:val="420"/>
          <w:tblHeader/>
        </w:trPr>
        <w:tc>
          <w:tcPr>
            <w:tcW w:w="1575" w:type="dxa"/>
            <w:tcMar>
              <w:top w:w="100" w:type="dxa"/>
              <w:left w:w="100" w:type="dxa"/>
              <w:bottom w:w="100" w:type="dxa"/>
              <w:right w:w="100" w:type="dxa"/>
            </w:tcMar>
          </w:tcPr>
          <w:p w14:paraId="06FF3431" w14:textId="77777777" w:rsidR="00594865" w:rsidRDefault="0009704C">
            <w:pPr>
              <w:widowControl w:val="0"/>
              <w:spacing w:line="240" w:lineRule="auto"/>
              <w:rPr>
                <w:rFonts w:ascii="Roboto" w:eastAsia="Roboto" w:hAnsi="Roboto" w:cs="Roboto"/>
                <w:b/>
                <w:bCs/>
              </w:rPr>
            </w:pPr>
            <w:r>
              <w:rPr>
                <w:rFonts w:ascii="Roboto" w:eastAsia="Roboto" w:hAnsi="Roboto" w:cs="Roboto"/>
                <w:b/>
                <w:bCs/>
              </w:rPr>
              <w:t>Rubric Element</w:t>
            </w:r>
          </w:p>
        </w:tc>
        <w:tc>
          <w:tcPr>
            <w:tcW w:w="1335" w:type="dxa"/>
            <w:tcMar>
              <w:top w:w="100" w:type="dxa"/>
              <w:left w:w="100" w:type="dxa"/>
              <w:bottom w:w="100" w:type="dxa"/>
              <w:right w:w="100" w:type="dxa"/>
            </w:tcMar>
          </w:tcPr>
          <w:p w14:paraId="0781F1AE" w14:textId="77777777" w:rsidR="00594865" w:rsidRDefault="0009704C">
            <w:pPr>
              <w:widowControl w:val="0"/>
              <w:spacing w:line="240" w:lineRule="auto"/>
              <w:rPr>
                <w:rFonts w:ascii="Roboto" w:eastAsia="Roboto" w:hAnsi="Roboto" w:cs="Roboto"/>
                <w:b/>
                <w:bCs/>
              </w:rPr>
            </w:pPr>
            <w:r>
              <w:rPr>
                <w:rFonts w:ascii="Roboto" w:eastAsia="Roboto" w:hAnsi="Roboto" w:cs="Roboto"/>
                <w:b/>
                <w:bCs/>
              </w:rPr>
              <w:t>Incomplete</w:t>
            </w:r>
          </w:p>
        </w:tc>
        <w:tc>
          <w:tcPr>
            <w:tcW w:w="1485" w:type="dxa"/>
            <w:tcMar>
              <w:top w:w="100" w:type="dxa"/>
              <w:left w:w="100" w:type="dxa"/>
              <w:bottom w:w="100" w:type="dxa"/>
              <w:right w:w="100" w:type="dxa"/>
            </w:tcMar>
          </w:tcPr>
          <w:p w14:paraId="1F214454" w14:textId="77777777" w:rsidR="00594865" w:rsidRDefault="0009704C">
            <w:pPr>
              <w:widowControl w:val="0"/>
              <w:spacing w:line="240" w:lineRule="auto"/>
              <w:rPr>
                <w:rFonts w:ascii="Roboto" w:eastAsia="Roboto" w:hAnsi="Roboto" w:cs="Roboto"/>
                <w:b/>
                <w:bCs/>
              </w:rPr>
            </w:pPr>
            <w:r>
              <w:rPr>
                <w:rFonts w:ascii="Roboto" w:eastAsia="Roboto" w:hAnsi="Roboto" w:cs="Roboto"/>
                <w:b/>
                <w:bCs/>
              </w:rPr>
              <w:t>Approaching Alignment</w:t>
            </w:r>
          </w:p>
        </w:tc>
        <w:tc>
          <w:tcPr>
            <w:tcW w:w="3945" w:type="dxa"/>
            <w:tcMar>
              <w:top w:w="100" w:type="dxa"/>
              <w:left w:w="100" w:type="dxa"/>
              <w:bottom w:w="100" w:type="dxa"/>
              <w:right w:w="100" w:type="dxa"/>
            </w:tcMar>
          </w:tcPr>
          <w:p w14:paraId="5A47131F" w14:textId="77777777" w:rsidR="00594865" w:rsidRDefault="0009704C">
            <w:pPr>
              <w:widowControl w:val="0"/>
              <w:spacing w:line="240" w:lineRule="auto"/>
              <w:rPr>
                <w:rFonts w:ascii="Roboto" w:eastAsia="Roboto" w:hAnsi="Roboto" w:cs="Roboto"/>
                <w:b/>
                <w:bCs/>
              </w:rPr>
            </w:pPr>
            <w:r>
              <w:rPr>
                <w:rFonts w:ascii="Roboto" w:eastAsia="Roboto" w:hAnsi="Roboto" w:cs="Roboto"/>
                <w:b/>
                <w:bCs/>
              </w:rPr>
              <w:t>Aligned</w:t>
            </w:r>
          </w:p>
        </w:tc>
        <w:tc>
          <w:tcPr>
            <w:tcW w:w="4380" w:type="dxa"/>
            <w:tcMar>
              <w:top w:w="100" w:type="dxa"/>
              <w:left w:w="100" w:type="dxa"/>
              <w:bottom w:w="100" w:type="dxa"/>
              <w:right w:w="100" w:type="dxa"/>
            </w:tcMar>
          </w:tcPr>
          <w:p w14:paraId="73B56679" w14:textId="77777777" w:rsidR="00594865" w:rsidRDefault="0009704C">
            <w:pPr>
              <w:widowControl w:val="0"/>
              <w:spacing w:line="240" w:lineRule="auto"/>
              <w:rPr>
                <w:rFonts w:ascii="Roboto" w:eastAsia="Roboto" w:hAnsi="Roboto" w:cs="Roboto"/>
                <w:b/>
                <w:bCs/>
              </w:rPr>
            </w:pPr>
            <w:r>
              <w:rPr>
                <w:rFonts w:ascii="Roboto" w:eastAsia="Roboto" w:hAnsi="Roboto" w:cs="Roboto"/>
                <w:b/>
                <w:bCs/>
              </w:rPr>
              <w:t>Exceptional</w:t>
            </w:r>
          </w:p>
        </w:tc>
      </w:tr>
      <w:tr w:rsidR="00594865" w14:paraId="4908370F" w14:textId="77777777" w:rsidTr="5C96F7FE">
        <w:tc>
          <w:tcPr>
            <w:tcW w:w="1575" w:type="dxa"/>
            <w:tcMar>
              <w:top w:w="100" w:type="dxa"/>
              <w:left w:w="100" w:type="dxa"/>
              <w:bottom w:w="100" w:type="dxa"/>
              <w:right w:w="100" w:type="dxa"/>
            </w:tcMar>
          </w:tcPr>
          <w:p w14:paraId="7268FAD0" w14:textId="77777777" w:rsidR="00594865" w:rsidRDefault="0009704C">
            <w:pPr>
              <w:widowControl w:val="0"/>
              <w:spacing w:line="240" w:lineRule="auto"/>
              <w:rPr>
                <w:rFonts w:ascii="Roboto" w:eastAsia="Roboto" w:hAnsi="Roboto" w:cs="Roboto"/>
              </w:rPr>
            </w:pPr>
            <w:r>
              <w:rPr>
                <w:rFonts w:ascii="Roboto" w:eastAsia="Roboto" w:hAnsi="Roboto" w:cs="Roboto"/>
              </w:rPr>
              <w:t>3.1 Initial Course Contact</w:t>
            </w:r>
          </w:p>
        </w:tc>
        <w:tc>
          <w:tcPr>
            <w:tcW w:w="1335" w:type="dxa"/>
            <w:tcMar>
              <w:top w:w="100" w:type="dxa"/>
              <w:left w:w="100" w:type="dxa"/>
              <w:bottom w:w="100" w:type="dxa"/>
              <w:right w:w="100" w:type="dxa"/>
            </w:tcMar>
          </w:tcPr>
          <w:p w14:paraId="406AFAFE"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485" w:type="dxa"/>
            <w:tcMar>
              <w:top w:w="100" w:type="dxa"/>
              <w:left w:w="100" w:type="dxa"/>
              <w:bottom w:w="100" w:type="dxa"/>
              <w:right w:w="100" w:type="dxa"/>
            </w:tcMar>
          </w:tcPr>
          <w:p w14:paraId="632BBEA8"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203E31D0" w14:textId="77777777" w:rsidR="00594865" w:rsidRDefault="0009704C">
            <w:pPr>
              <w:widowControl w:val="0"/>
              <w:spacing w:line="240" w:lineRule="auto"/>
              <w:rPr>
                <w:rFonts w:ascii="Roboto" w:eastAsia="Roboto" w:hAnsi="Roboto" w:cs="Roboto"/>
              </w:rPr>
            </w:pPr>
            <w:r>
              <w:rPr>
                <w:rFonts w:ascii="Roboto" w:eastAsia="Roboto" w:hAnsi="Roboto" w:cs="Roboto"/>
              </w:rPr>
              <w:t>The instructor provides a welcome message that gives students the key information they need to start the course. This may include first-week requirements, a brief overview of any technology used in addition to Canvas, alternative access options (if needed), and links to Canvas support.</w:t>
            </w:r>
          </w:p>
        </w:tc>
        <w:tc>
          <w:tcPr>
            <w:tcW w:w="4380" w:type="dxa"/>
            <w:tcMar>
              <w:top w:w="100" w:type="dxa"/>
              <w:left w:w="100" w:type="dxa"/>
              <w:bottom w:w="100" w:type="dxa"/>
              <w:right w:w="100" w:type="dxa"/>
            </w:tcMar>
          </w:tcPr>
          <w:p w14:paraId="0D09B8EE" w14:textId="77777777" w:rsidR="00594865" w:rsidRDefault="0009704C">
            <w:pPr>
              <w:widowControl w:val="0"/>
              <w:spacing w:line="240" w:lineRule="auto"/>
              <w:rPr>
                <w:rFonts w:ascii="Roboto" w:eastAsia="Roboto" w:hAnsi="Roboto" w:cs="Roboto"/>
              </w:rPr>
            </w:pPr>
            <w:r>
              <w:rPr>
                <w:rFonts w:ascii="Roboto" w:eastAsia="Roboto" w:hAnsi="Roboto" w:cs="Roboto"/>
              </w:rPr>
              <w:t>The instructor sends more than one welcome message—such as a pre-course introduction and a first-day reminder. The messages are student-centered and foster a sense of belonging.</w:t>
            </w:r>
          </w:p>
        </w:tc>
      </w:tr>
      <w:tr w:rsidR="00594865" w14:paraId="2E2CCBF1" w14:textId="77777777" w:rsidTr="5C96F7FE">
        <w:tc>
          <w:tcPr>
            <w:tcW w:w="1575" w:type="dxa"/>
            <w:tcMar>
              <w:top w:w="100" w:type="dxa"/>
              <w:left w:w="100" w:type="dxa"/>
              <w:bottom w:w="100" w:type="dxa"/>
              <w:right w:w="100" w:type="dxa"/>
            </w:tcMar>
          </w:tcPr>
          <w:p w14:paraId="5B3527EB" w14:textId="77777777" w:rsidR="00594865" w:rsidRDefault="0009704C">
            <w:pPr>
              <w:widowControl w:val="0"/>
              <w:spacing w:line="240" w:lineRule="auto"/>
              <w:rPr>
                <w:rFonts w:ascii="Roboto" w:eastAsia="Roboto" w:hAnsi="Roboto" w:cs="Roboto"/>
              </w:rPr>
            </w:pPr>
            <w:r>
              <w:rPr>
                <w:rFonts w:ascii="Roboto" w:eastAsia="Roboto" w:hAnsi="Roboto" w:cs="Roboto"/>
              </w:rPr>
              <w:t>3.2 Instructor- Initiated Interaction</w:t>
            </w:r>
          </w:p>
        </w:tc>
        <w:tc>
          <w:tcPr>
            <w:tcW w:w="1335" w:type="dxa"/>
            <w:tcMar>
              <w:top w:w="100" w:type="dxa"/>
              <w:left w:w="100" w:type="dxa"/>
              <w:bottom w:w="100" w:type="dxa"/>
              <w:right w:w="100" w:type="dxa"/>
            </w:tcMar>
          </w:tcPr>
          <w:p w14:paraId="21494AAC"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485" w:type="dxa"/>
            <w:tcMar>
              <w:top w:w="100" w:type="dxa"/>
              <w:left w:w="100" w:type="dxa"/>
              <w:bottom w:w="100" w:type="dxa"/>
              <w:right w:w="100" w:type="dxa"/>
            </w:tcMar>
          </w:tcPr>
          <w:p w14:paraId="13C27C55"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2728862C"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 xml:space="preserve">The course includes a clear explanation of when and how the instructor will initiate regular interaction with students (e.g., in module 0 and </w:t>
            </w:r>
            <w:proofErr w:type="gramStart"/>
            <w:r w:rsidRPr="5C96F7FE">
              <w:rPr>
                <w:rFonts w:ascii="Roboto" w:eastAsia="Roboto" w:hAnsi="Roboto" w:cs="Roboto"/>
                <w:lang w:val="en-US"/>
              </w:rPr>
              <w:t>syllabus)  and</w:t>
            </w:r>
            <w:proofErr w:type="gramEnd"/>
            <w:r w:rsidRPr="5C96F7FE">
              <w:rPr>
                <w:rFonts w:ascii="Roboto" w:eastAsia="Roboto" w:hAnsi="Roboto" w:cs="Roboto"/>
                <w:lang w:val="en-US"/>
              </w:rPr>
              <w:t xml:space="preserve"> is evident throughout the course design.</w:t>
            </w:r>
          </w:p>
          <w:p w14:paraId="58B00FCA" w14:textId="77777777" w:rsidR="00594865" w:rsidRDefault="00594865">
            <w:pPr>
              <w:widowControl w:val="0"/>
              <w:spacing w:line="240" w:lineRule="auto"/>
              <w:rPr>
                <w:rFonts w:ascii="Roboto" w:eastAsia="Roboto" w:hAnsi="Roboto" w:cs="Roboto"/>
              </w:rPr>
            </w:pPr>
          </w:p>
        </w:tc>
        <w:tc>
          <w:tcPr>
            <w:tcW w:w="4380" w:type="dxa"/>
            <w:tcMar>
              <w:top w:w="100" w:type="dxa"/>
              <w:left w:w="100" w:type="dxa"/>
              <w:bottom w:w="100" w:type="dxa"/>
              <w:right w:w="100" w:type="dxa"/>
            </w:tcMar>
          </w:tcPr>
          <w:p w14:paraId="755A8EFF"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The explanation facilitates student understanding of why RSI matters and provides deeper interaction throughout the course.</w:t>
            </w:r>
          </w:p>
        </w:tc>
      </w:tr>
      <w:tr w:rsidR="00594865" w14:paraId="57C1FA4B" w14:textId="77777777" w:rsidTr="5C96F7FE">
        <w:tc>
          <w:tcPr>
            <w:tcW w:w="1575" w:type="dxa"/>
            <w:tcMar>
              <w:top w:w="100" w:type="dxa"/>
              <w:left w:w="100" w:type="dxa"/>
              <w:bottom w:w="100" w:type="dxa"/>
              <w:right w:w="100" w:type="dxa"/>
            </w:tcMar>
          </w:tcPr>
          <w:p w14:paraId="0798A768" w14:textId="77777777" w:rsidR="00594865" w:rsidRDefault="0009704C">
            <w:pPr>
              <w:widowControl w:val="0"/>
              <w:spacing w:line="240" w:lineRule="auto"/>
              <w:rPr>
                <w:rFonts w:ascii="Roboto" w:eastAsia="Roboto" w:hAnsi="Roboto" w:cs="Roboto"/>
              </w:rPr>
            </w:pPr>
            <w:r>
              <w:rPr>
                <w:rFonts w:ascii="Roboto" w:eastAsia="Roboto" w:hAnsi="Roboto" w:cs="Roboto"/>
              </w:rPr>
              <w:t>3.3 Student-Initiated Interaction</w:t>
            </w:r>
          </w:p>
        </w:tc>
        <w:tc>
          <w:tcPr>
            <w:tcW w:w="1335" w:type="dxa"/>
            <w:tcMar>
              <w:top w:w="100" w:type="dxa"/>
              <w:left w:w="100" w:type="dxa"/>
              <w:bottom w:w="100" w:type="dxa"/>
              <w:right w:w="100" w:type="dxa"/>
            </w:tcMar>
          </w:tcPr>
          <w:p w14:paraId="065B05DE"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485" w:type="dxa"/>
            <w:tcMar>
              <w:top w:w="100" w:type="dxa"/>
              <w:left w:w="100" w:type="dxa"/>
              <w:bottom w:w="100" w:type="dxa"/>
              <w:right w:w="100" w:type="dxa"/>
            </w:tcMar>
          </w:tcPr>
          <w:p w14:paraId="6CFCDB41"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3B744300"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 xml:space="preserve">Students can easily locate instructor contact information and details about regular opportunities for interaction during the course and expected response times. </w:t>
            </w:r>
          </w:p>
        </w:tc>
        <w:tc>
          <w:tcPr>
            <w:tcW w:w="4380" w:type="dxa"/>
            <w:tcMar>
              <w:top w:w="100" w:type="dxa"/>
              <w:left w:w="100" w:type="dxa"/>
              <w:bottom w:w="100" w:type="dxa"/>
              <w:right w:w="100" w:type="dxa"/>
            </w:tcMar>
          </w:tcPr>
          <w:p w14:paraId="763B3089" w14:textId="77777777" w:rsidR="00594865" w:rsidRDefault="0009704C">
            <w:pPr>
              <w:widowControl w:val="0"/>
              <w:spacing w:line="240" w:lineRule="auto"/>
              <w:rPr>
                <w:rFonts w:ascii="Roboto" w:eastAsia="Roboto" w:hAnsi="Roboto" w:cs="Roboto"/>
              </w:rPr>
            </w:pPr>
            <w:r>
              <w:rPr>
                <w:rFonts w:ascii="Roboto" w:eastAsia="Roboto" w:hAnsi="Roboto" w:cs="Roboto"/>
              </w:rPr>
              <w:t>Students are given multiple ways to contact the instructor and are actively encouraged to reach out at different points throughout the course or within relevant assignments.</w:t>
            </w:r>
          </w:p>
        </w:tc>
      </w:tr>
      <w:tr w:rsidR="00594865" w14:paraId="7F1ED46C" w14:textId="77777777" w:rsidTr="5C96F7FE">
        <w:trPr>
          <w:cantSplit/>
        </w:trPr>
        <w:tc>
          <w:tcPr>
            <w:tcW w:w="1575" w:type="dxa"/>
            <w:tcMar>
              <w:top w:w="100" w:type="dxa"/>
              <w:left w:w="100" w:type="dxa"/>
              <w:bottom w:w="100" w:type="dxa"/>
              <w:right w:w="100" w:type="dxa"/>
            </w:tcMar>
          </w:tcPr>
          <w:p w14:paraId="47ABF91F" w14:textId="77777777" w:rsidR="00594865" w:rsidRDefault="0009704C">
            <w:pPr>
              <w:widowControl w:val="0"/>
              <w:spacing w:line="240" w:lineRule="auto"/>
              <w:rPr>
                <w:rFonts w:ascii="Roboto" w:eastAsia="Roboto" w:hAnsi="Roboto" w:cs="Roboto"/>
              </w:rPr>
            </w:pPr>
            <w:r>
              <w:rPr>
                <w:rFonts w:ascii="Roboto" w:eastAsia="Roboto" w:hAnsi="Roboto" w:cs="Roboto"/>
              </w:rPr>
              <w:lastRenderedPageBreak/>
              <w:t>3.4 Facilitation of Student Interaction</w:t>
            </w:r>
          </w:p>
        </w:tc>
        <w:tc>
          <w:tcPr>
            <w:tcW w:w="1335" w:type="dxa"/>
            <w:tcMar>
              <w:top w:w="100" w:type="dxa"/>
              <w:left w:w="100" w:type="dxa"/>
              <w:bottom w:w="100" w:type="dxa"/>
              <w:right w:w="100" w:type="dxa"/>
            </w:tcMar>
          </w:tcPr>
          <w:p w14:paraId="2B80E6FD"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485" w:type="dxa"/>
            <w:tcMar>
              <w:top w:w="100" w:type="dxa"/>
              <w:left w:w="100" w:type="dxa"/>
              <w:bottom w:w="100" w:type="dxa"/>
              <w:right w:w="100" w:type="dxa"/>
            </w:tcMar>
          </w:tcPr>
          <w:p w14:paraId="0B2A51C1"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945" w:type="dxa"/>
            <w:tcMar>
              <w:top w:w="100" w:type="dxa"/>
              <w:left w:w="100" w:type="dxa"/>
              <w:bottom w:w="100" w:type="dxa"/>
              <w:right w:w="100" w:type="dxa"/>
            </w:tcMar>
          </w:tcPr>
          <w:p w14:paraId="718F046B"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The course includes opportunities for student-to-student interaction focused on course content. The instructor's role in facilitating these interactions is explained.</w:t>
            </w:r>
          </w:p>
        </w:tc>
        <w:tc>
          <w:tcPr>
            <w:tcW w:w="4380" w:type="dxa"/>
            <w:tcMar>
              <w:top w:w="100" w:type="dxa"/>
              <w:left w:w="100" w:type="dxa"/>
              <w:bottom w:w="100" w:type="dxa"/>
              <w:right w:w="100" w:type="dxa"/>
            </w:tcMar>
          </w:tcPr>
          <w:p w14:paraId="16A97CA0"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The instructor expects, encourages, and facilitates regular student-to-student interaction through structured activities and thoughtful prompts that include clear guidelines to help students stay engaged and foster inclusivity.</w:t>
            </w:r>
          </w:p>
        </w:tc>
      </w:tr>
    </w:tbl>
    <w:p w14:paraId="5CC82C51" w14:textId="77777777" w:rsidR="00594865" w:rsidRDefault="0009704C">
      <w:pPr>
        <w:rPr>
          <w:rFonts w:ascii="Roboto" w:eastAsia="Roboto" w:hAnsi="Roboto" w:cs="Roboto"/>
        </w:rPr>
      </w:pPr>
      <w:r>
        <w:br w:type="page"/>
      </w:r>
    </w:p>
    <w:p w14:paraId="06590DA6" w14:textId="77777777" w:rsidR="00594865" w:rsidRDefault="0009704C">
      <w:pPr>
        <w:pStyle w:val="Heading2"/>
        <w:keepNext w:val="0"/>
        <w:keepLines w:val="0"/>
        <w:spacing w:before="480"/>
      </w:pPr>
      <w:bookmarkStart w:id="10" w:name="_heading=h.wesfxrvgtvti" w:colFirst="0" w:colLast="0"/>
      <w:bookmarkEnd w:id="10"/>
      <w:r>
        <w:lastRenderedPageBreak/>
        <w:t>Section 4: Assessments</w:t>
      </w:r>
    </w:p>
    <w:p w14:paraId="0BBD2FD3" w14:textId="73E05CCF" w:rsidR="00A33387" w:rsidRPr="00A33387" w:rsidRDefault="00A33387" w:rsidP="00A33387">
      <w:r>
        <w:rPr>
          <w:rFonts w:ascii="Roboto" w:eastAsia="Roboto" w:hAnsi="Roboto" w:cs="Roboto"/>
          <w:i/>
          <w:iCs/>
        </w:rPr>
        <w:t>Note: To be marked as</w:t>
      </w:r>
      <w:r>
        <w:rPr>
          <w:rFonts w:ascii="Roboto" w:eastAsia="Roboto" w:hAnsi="Roboto" w:cs="Roboto"/>
          <w:b/>
          <w:bCs/>
          <w:i/>
          <w:iCs/>
        </w:rPr>
        <w:t xml:space="preserve"> Exceptional</w:t>
      </w:r>
      <w:r>
        <w:rPr>
          <w:rFonts w:ascii="Roboto" w:eastAsia="Roboto" w:hAnsi="Roboto" w:cs="Roboto"/>
          <w:i/>
          <w:iCs/>
        </w:rPr>
        <w:t>, the element must first meet all expectations described in the Aligned level. The higher rating reflects design choices that go beyond the baseline to further support student learning, engagement, and access.</w:t>
      </w:r>
    </w:p>
    <w:tbl>
      <w:tblPr>
        <w:tblStyle w:val="a2"/>
        <w:tblW w:w="127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80" w:firstRow="0" w:lastRow="0" w:firstColumn="1" w:lastColumn="0" w:noHBand="1" w:noVBand="1"/>
      </w:tblPr>
      <w:tblGrid>
        <w:gridCol w:w="1880"/>
        <w:gridCol w:w="1530"/>
        <w:gridCol w:w="1710"/>
        <w:gridCol w:w="3220"/>
        <w:gridCol w:w="4380"/>
      </w:tblGrid>
      <w:tr w:rsidR="00594865" w14:paraId="45A91133" w14:textId="77777777" w:rsidTr="5C96F7FE">
        <w:trPr>
          <w:trHeight w:val="420"/>
          <w:tblHeader/>
        </w:trPr>
        <w:tc>
          <w:tcPr>
            <w:tcW w:w="1880" w:type="dxa"/>
            <w:tcMar>
              <w:top w:w="100" w:type="dxa"/>
              <w:left w:w="100" w:type="dxa"/>
              <w:bottom w:w="100" w:type="dxa"/>
              <w:right w:w="100" w:type="dxa"/>
            </w:tcMar>
          </w:tcPr>
          <w:p w14:paraId="1CC87115" w14:textId="77777777" w:rsidR="00594865" w:rsidRDefault="0009704C">
            <w:pPr>
              <w:widowControl w:val="0"/>
              <w:spacing w:line="240" w:lineRule="auto"/>
              <w:rPr>
                <w:rFonts w:ascii="Roboto" w:eastAsia="Roboto" w:hAnsi="Roboto" w:cs="Roboto"/>
                <w:b/>
                <w:bCs/>
              </w:rPr>
            </w:pPr>
            <w:r>
              <w:rPr>
                <w:rFonts w:ascii="Roboto" w:eastAsia="Roboto" w:hAnsi="Roboto" w:cs="Roboto"/>
                <w:b/>
                <w:bCs/>
              </w:rPr>
              <w:t>Rubric Element</w:t>
            </w:r>
          </w:p>
        </w:tc>
        <w:tc>
          <w:tcPr>
            <w:tcW w:w="1530" w:type="dxa"/>
            <w:tcMar>
              <w:top w:w="100" w:type="dxa"/>
              <w:left w:w="100" w:type="dxa"/>
              <w:bottom w:w="100" w:type="dxa"/>
              <w:right w:w="100" w:type="dxa"/>
            </w:tcMar>
          </w:tcPr>
          <w:p w14:paraId="50A6FF94" w14:textId="77777777" w:rsidR="00594865" w:rsidRDefault="0009704C">
            <w:pPr>
              <w:widowControl w:val="0"/>
              <w:spacing w:line="240" w:lineRule="auto"/>
              <w:rPr>
                <w:rFonts w:ascii="Roboto" w:eastAsia="Roboto" w:hAnsi="Roboto" w:cs="Roboto"/>
                <w:b/>
                <w:bCs/>
              </w:rPr>
            </w:pPr>
            <w:r>
              <w:rPr>
                <w:rFonts w:ascii="Roboto" w:eastAsia="Roboto" w:hAnsi="Roboto" w:cs="Roboto"/>
                <w:b/>
                <w:bCs/>
              </w:rPr>
              <w:t>Incomplete</w:t>
            </w:r>
          </w:p>
        </w:tc>
        <w:tc>
          <w:tcPr>
            <w:tcW w:w="1710" w:type="dxa"/>
            <w:tcMar>
              <w:top w:w="100" w:type="dxa"/>
              <w:left w:w="100" w:type="dxa"/>
              <w:bottom w:w="100" w:type="dxa"/>
              <w:right w:w="100" w:type="dxa"/>
            </w:tcMar>
          </w:tcPr>
          <w:p w14:paraId="31A7BF83" w14:textId="77777777" w:rsidR="00594865" w:rsidRDefault="0009704C">
            <w:pPr>
              <w:widowControl w:val="0"/>
              <w:spacing w:line="240" w:lineRule="auto"/>
              <w:rPr>
                <w:rFonts w:ascii="Roboto" w:eastAsia="Roboto" w:hAnsi="Roboto" w:cs="Roboto"/>
                <w:b/>
                <w:bCs/>
              </w:rPr>
            </w:pPr>
            <w:r>
              <w:rPr>
                <w:rFonts w:ascii="Roboto" w:eastAsia="Roboto" w:hAnsi="Roboto" w:cs="Roboto"/>
                <w:b/>
                <w:bCs/>
              </w:rPr>
              <w:t>Approaching Alignment</w:t>
            </w:r>
          </w:p>
        </w:tc>
        <w:tc>
          <w:tcPr>
            <w:tcW w:w="3220" w:type="dxa"/>
            <w:tcMar>
              <w:top w:w="100" w:type="dxa"/>
              <w:left w:w="100" w:type="dxa"/>
              <w:bottom w:w="100" w:type="dxa"/>
              <w:right w:w="100" w:type="dxa"/>
            </w:tcMar>
          </w:tcPr>
          <w:p w14:paraId="0B6AC9E7" w14:textId="77777777" w:rsidR="00594865" w:rsidRDefault="0009704C">
            <w:pPr>
              <w:widowControl w:val="0"/>
              <w:spacing w:line="240" w:lineRule="auto"/>
              <w:rPr>
                <w:rFonts w:ascii="Roboto" w:eastAsia="Roboto" w:hAnsi="Roboto" w:cs="Roboto"/>
                <w:b/>
                <w:bCs/>
              </w:rPr>
            </w:pPr>
            <w:r>
              <w:rPr>
                <w:rFonts w:ascii="Roboto" w:eastAsia="Roboto" w:hAnsi="Roboto" w:cs="Roboto"/>
                <w:b/>
                <w:bCs/>
              </w:rPr>
              <w:t>Aligned</w:t>
            </w:r>
          </w:p>
        </w:tc>
        <w:tc>
          <w:tcPr>
            <w:tcW w:w="4380" w:type="dxa"/>
            <w:tcMar>
              <w:top w:w="100" w:type="dxa"/>
              <w:left w:w="100" w:type="dxa"/>
              <w:bottom w:w="100" w:type="dxa"/>
              <w:right w:w="100" w:type="dxa"/>
            </w:tcMar>
          </w:tcPr>
          <w:p w14:paraId="1AD05712" w14:textId="77777777" w:rsidR="00594865" w:rsidRDefault="0009704C">
            <w:pPr>
              <w:widowControl w:val="0"/>
              <w:spacing w:line="240" w:lineRule="auto"/>
              <w:rPr>
                <w:rFonts w:ascii="Roboto" w:eastAsia="Roboto" w:hAnsi="Roboto" w:cs="Roboto"/>
                <w:b/>
                <w:bCs/>
              </w:rPr>
            </w:pPr>
            <w:r>
              <w:rPr>
                <w:rFonts w:ascii="Roboto" w:eastAsia="Roboto" w:hAnsi="Roboto" w:cs="Roboto"/>
                <w:b/>
                <w:bCs/>
              </w:rPr>
              <w:t>Exceptional</w:t>
            </w:r>
          </w:p>
        </w:tc>
      </w:tr>
      <w:tr w:rsidR="00594865" w14:paraId="192E7F6F" w14:textId="77777777" w:rsidTr="5C96F7FE">
        <w:tc>
          <w:tcPr>
            <w:tcW w:w="1880" w:type="dxa"/>
            <w:tcMar>
              <w:top w:w="100" w:type="dxa"/>
              <w:left w:w="100" w:type="dxa"/>
              <w:bottom w:w="100" w:type="dxa"/>
              <w:right w:w="100" w:type="dxa"/>
            </w:tcMar>
          </w:tcPr>
          <w:p w14:paraId="0205AC32" w14:textId="77777777" w:rsidR="00594865" w:rsidRDefault="0009704C">
            <w:pPr>
              <w:widowControl w:val="0"/>
              <w:spacing w:line="240" w:lineRule="auto"/>
              <w:rPr>
                <w:rFonts w:ascii="Roboto" w:eastAsia="Roboto" w:hAnsi="Roboto" w:cs="Roboto"/>
              </w:rPr>
            </w:pPr>
            <w:r>
              <w:rPr>
                <w:rFonts w:ascii="Roboto" w:eastAsia="Roboto" w:hAnsi="Roboto" w:cs="Roboto"/>
              </w:rPr>
              <w:t>4.1 Variety &amp; Frequency</w:t>
            </w:r>
          </w:p>
        </w:tc>
        <w:tc>
          <w:tcPr>
            <w:tcW w:w="1530" w:type="dxa"/>
            <w:tcMar>
              <w:top w:w="100" w:type="dxa"/>
              <w:left w:w="100" w:type="dxa"/>
              <w:bottom w:w="100" w:type="dxa"/>
              <w:right w:w="100" w:type="dxa"/>
            </w:tcMar>
          </w:tcPr>
          <w:p w14:paraId="2EABA566"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710" w:type="dxa"/>
            <w:tcMar>
              <w:top w:w="100" w:type="dxa"/>
              <w:left w:w="100" w:type="dxa"/>
              <w:bottom w:w="100" w:type="dxa"/>
              <w:right w:w="100" w:type="dxa"/>
            </w:tcMar>
          </w:tcPr>
          <w:p w14:paraId="09F50C7B"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220" w:type="dxa"/>
            <w:tcMar>
              <w:top w:w="100" w:type="dxa"/>
              <w:left w:w="100" w:type="dxa"/>
              <w:bottom w:w="100" w:type="dxa"/>
              <w:right w:w="100" w:type="dxa"/>
            </w:tcMar>
          </w:tcPr>
          <w:p w14:paraId="18EC8DAC"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 xml:space="preserve">The course provides relevant formative and summative assessments throughout the term, offering different ways for students to show what they know and stay engaged. </w:t>
            </w:r>
          </w:p>
        </w:tc>
        <w:tc>
          <w:tcPr>
            <w:tcW w:w="4380" w:type="dxa"/>
            <w:tcMar>
              <w:top w:w="100" w:type="dxa"/>
              <w:left w:w="100" w:type="dxa"/>
              <w:bottom w:w="100" w:type="dxa"/>
              <w:right w:w="100" w:type="dxa"/>
            </w:tcMar>
          </w:tcPr>
          <w:p w14:paraId="4603C1CC" w14:textId="77777777" w:rsidR="00594865" w:rsidRDefault="0009704C">
            <w:pPr>
              <w:widowControl w:val="0"/>
              <w:spacing w:line="240" w:lineRule="auto"/>
              <w:rPr>
                <w:rFonts w:ascii="Roboto" w:eastAsia="Roboto" w:hAnsi="Roboto" w:cs="Roboto"/>
              </w:rPr>
            </w:pPr>
            <w:r>
              <w:rPr>
                <w:rFonts w:ascii="Roboto" w:eastAsia="Roboto" w:hAnsi="Roboto" w:cs="Roboto"/>
              </w:rPr>
              <w:t>Most assessments support higher-order thinking, connect to real-world situations, and promote inclusive, engaging learning experiences.</w:t>
            </w:r>
          </w:p>
        </w:tc>
      </w:tr>
      <w:tr w:rsidR="00594865" w14:paraId="6EC07CF9" w14:textId="77777777" w:rsidTr="5C96F7FE">
        <w:tc>
          <w:tcPr>
            <w:tcW w:w="1880" w:type="dxa"/>
            <w:tcMar>
              <w:top w:w="100" w:type="dxa"/>
              <w:left w:w="100" w:type="dxa"/>
              <w:bottom w:w="100" w:type="dxa"/>
              <w:right w:w="100" w:type="dxa"/>
            </w:tcMar>
          </w:tcPr>
          <w:p w14:paraId="27DB9460" w14:textId="77777777" w:rsidR="00594865" w:rsidRDefault="0009704C">
            <w:pPr>
              <w:widowControl w:val="0"/>
              <w:spacing w:line="240" w:lineRule="auto"/>
              <w:rPr>
                <w:rFonts w:ascii="Roboto" w:eastAsia="Roboto" w:hAnsi="Roboto" w:cs="Roboto"/>
              </w:rPr>
            </w:pPr>
            <w:r>
              <w:rPr>
                <w:rFonts w:ascii="Roboto" w:eastAsia="Roboto" w:hAnsi="Roboto" w:cs="Roboto"/>
              </w:rPr>
              <w:t>4.2 Scoring Criteria</w:t>
            </w:r>
          </w:p>
        </w:tc>
        <w:tc>
          <w:tcPr>
            <w:tcW w:w="1530" w:type="dxa"/>
            <w:tcMar>
              <w:top w:w="100" w:type="dxa"/>
              <w:left w:w="100" w:type="dxa"/>
              <w:bottom w:w="100" w:type="dxa"/>
              <w:right w:w="100" w:type="dxa"/>
            </w:tcMar>
          </w:tcPr>
          <w:p w14:paraId="2DD7F28E"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710" w:type="dxa"/>
            <w:tcMar>
              <w:top w:w="100" w:type="dxa"/>
              <w:left w:w="100" w:type="dxa"/>
              <w:bottom w:w="100" w:type="dxa"/>
              <w:right w:w="100" w:type="dxa"/>
            </w:tcMar>
          </w:tcPr>
          <w:p w14:paraId="5080F698"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220" w:type="dxa"/>
            <w:tcMar>
              <w:top w:w="100" w:type="dxa"/>
              <w:left w:w="100" w:type="dxa"/>
              <w:bottom w:w="100" w:type="dxa"/>
              <w:right w:w="100" w:type="dxa"/>
            </w:tcMar>
          </w:tcPr>
          <w:p w14:paraId="7E810A38"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Assessments include a clear explanation of how student work will be evaluated—such as rubrics or defined expectations. </w:t>
            </w:r>
          </w:p>
        </w:tc>
        <w:tc>
          <w:tcPr>
            <w:tcW w:w="4380" w:type="dxa"/>
            <w:tcMar>
              <w:top w:w="100" w:type="dxa"/>
              <w:left w:w="100" w:type="dxa"/>
              <w:bottom w:w="100" w:type="dxa"/>
              <w:right w:w="100" w:type="dxa"/>
            </w:tcMar>
          </w:tcPr>
          <w:p w14:paraId="377200DA"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The assessments include examples or models of student work to help clarify expectations and support student success.</w:t>
            </w:r>
          </w:p>
          <w:p w14:paraId="2B978470" w14:textId="77777777" w:rsidR="00594865" w:rsidRDefault="00594865">
            <w:pPr>
              <w:widowControl w:val="0"/>
              <w:spacing w:line="240" w:lineRule="auto"/>
              <w:rPr>
                <w:rFonts w:ascii="Roboto" w:eastAsia="Roboto" w:hAnsi="Roboto" w:cs="Roboto"/>
              </w:rPr>
            </w:pPr>
          </w:p>
        </w:tc>
      </w:tr>
      <w:tr w:rsidR="00594865" w14:paraId="53122E00" w14:textId="77777777" w:rsidTr="5C96F7FE">
        <w:tc>
          <w:tcPr>
            <w:tcW w:w="1880" w:type="dxa"/>
            <w:tcMar>
              <w:top w:w="100" w:type="dxa"/>
              <w:left w:w="100" w:type="dxa"/>
              <w:bottom w:w="100" w:type="dxa"/>
              <w:right w:w="100" w:type="dxa"/>
            </w:tcMar>
          </w:tcPr>
          <w:p w14:paraId="698756D0" w14:textId="77777777" w:rsidR="00594865" w:rsidRDefault="0009704C">
            <w:pPr>
              <w:widowControl w:val="0"/>
              <w:spacing w:line="240" w:lineRule="auto"/>
              <w:rPr>
                <w:rFonts w:ascii="Roboto" w:eastAsia="Roboto" w:hAnsi="Roboto" w:cs="Roboto"/>
              </w:rPr>
            </w:pPr>
            <w:r>
              <w:rPr>
                <w:rFonts w:ascii="Roboto" w:eastAsia="Roboto" w:hAnsi="Roboto" w:cs="Roboto"/>
              </w:rPr>
              <w:t>4.3 Assessment Instructions</w:t>
            </w:r>
          </w:p>
        </w:tc>
        <w:tc>
          <w:tcPr>
            <w:tcW w:w="1530" w:type="dxa"/>
            <w:tcMar>
              <w:top w:w="100" w:type="dxa"/>
              <w:left w:w="100" w:type="dxa"/>
              <w:bottom w:w="100" w:type="dxa"/>
              <w:right w:w="100" w:type="dxa"/>
            </w:tcMar>
          </w:tcPr>
          <w:p w14:paraId="081A5B3C"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710" w:type="dxa"/>
            <w:tcMar>
              <w:top w:w="100" w:type="dxa"/>
              <w:left w:w="100" w:type="dxa"/>
              <w:bottom w:w="100" w:type="dxa"/>
              <w:right w:w="100" w:type="dxa"/>
            </w:tcMar>
          </w:tcPr>
          <w:p w14:paraId="762AAEF6"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220" w:type="dxa"/>
            <w:tcMar>
              <w:top w:w="100" w:type="dxa"/>
              <w:left w:w="100" w:type="dxa"/>
              <w:bottom w:w="100" w:type="dxa"/>
              <w:right w:w="100" w:type="dxa"/>
            </w:tcMar>
          </w:tcPr>
          <w:p w14:paraId="5E870CF9" w14:textId="77777777" w:rsidR="00594865" w:rsidRDefault="0009704C">
            <w:pPr>
              <w:widowControl w:val="0"/>
              <w:spacing w:line="240" w:lineRule="auto"/>
              <w:rPr>
                <w:rFonts w:ascii="Roboto" w:eastAsia="Roboto" w:hAnsi="Roboto" w:cs="Roboto"/>
              </w:rPr>
            </w:pPr>
            <w:r>
              <w:rPr>
                <w:rFonts w:ascii="Roboto" w:eastAsia="Roboto" w:hAnsi="Roboto" w:cs="Roboto"/>
              </w:rPr>
              <w:t>Accessible instructions clearly explain what students need to do to complete the assignment successfully and provide relevant resources.</w:t>
            </w:r>
          </w:p>
        </w:tc>
        <w:tc>
          <w:tcPr>
            <w:tcW w:w="4380" w:type="dxa"/>
            <w:tcMar>
              <w:top w:w="100" w:type="dxa"/>
              <w:left w:w="100" w:type="dxa"/>
              <w:bottom w:w="100" w:type="dxa"/>
              <w:right w:w="100" w:type="dxa"/>
            </w:tcMar>
          </w:tcPr>
          <w:p w14:paraId="7E09A52A" w14:textId="77777777" w:rsidR="00594865" w:rsidRDefault="0009704C">
            <w:pPr>
              <w:widowControl w:val="0"/>
              <w:spacing w:line="240" w:lineRule="auto"/>
              <w:rPr>
                <w:rFonts w:ascii="Roboto" w:eastAsia="Roboto" w:hAnsi="Roboto" w:cs="Roboto"/>
              </w:rPr>
            </w:pPr>
            <w:r>
              <w:rPr>
                <w:rFonts w:ascii="Roboto" w:eastAsia="Roboto" w:hAnsi="Roboto" w:cs="Roboto"/>
              </w:rPr>
              <w:t>Instructions are offered in multiple formats—such as written, visual, or audio—to support different learning needs. Instructions offer alternative options to reduce barriers.</w:t>
            </w:r>
          </w:p>
        </w:tc>
      </w:tr>
      <w:tr w:rsidR="00594865" w14:paraId="4063F1F6" w14:textId="77777777" w:rsidTr="5C96F7FE">
        <w:tc>
          <w:tcPr>
            <w:tcW w:w="1880" w:type="dxa"/>
            <w:tcMar>
              <w:top w:w="100" w:type="dxa"/>
              <w:left w:w="100" w:type="dxa"/>
              <w:bottom w:w="100" w:type="dxa"/>
              <w:right w:w="100" w:type="dxa"/>
            </w:tcMar>
          </w:tcPr>
          <w:p w14:paraId="7B7B857F" w14:textId="77777777" w:rsidR="00594865" w:rsidRDefault="0009704C">
            <w:pPr>
              <w:widowControl w:val="0"/>
              <w:spacing w:line="240" w:lineRule="auto"/>
              <w:rPr>
                <w:rFonts w:ascii="Roboto" w:eastAsia="Roboto" w:hAnsi="Roboto" w:cs="Roboto"/>
              </w:rPr>
            </w:pPr>
            <w:r>
              <w:rPr>
                <w:rFonts w:ascii="Roboto" w:eastAsia="Roboto" w:hAnsi="Roboto" w:cs="Roboto"/>
              </w:rPr>
              <w:t>4.4 Assessment Feedback</w:t>
            </w:r>
          </w:p>
        </w:tc>
        <w:tc>
          <w:tcPr>
            <w:tcW w:w="1530" w:type="dxa"/>
            <w:tcMar>
              <w:top w:w="100" w:type="dxa"/>
              <w:left w:w="100" w:type="dxa"/>
              <w:bottom w:w="100" w:type="dxa"/>
              <w:right w:w="100" w:type="dxa"/>
            </w:tcMar>
          </w:tcPr>
          <w:p w14:paraId="4CBD4EA0"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710" w:type="dxa"/>
            <w:tcMar>
              <w:top w:w="100" w:type="dxa"/>
              <w:left w:w="100" w:type="dxa"/>
              <w:bottom w:w="100" w:type="dxa"/>
              <w:right w:w="100" w:type="dxa"/>
            </w:tcMar>
          </w:tcPr>
          <w:p w14:paraId="157E22C6"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220" w:type="dxa"/>
            <w:tcMar>
              <w:top w:w="100" w:type="dxa"/>
              <w:left w:w="100" w:type="dxa"/>
              <w:bottom w:w="100" w:type="dxa"/>
              <w:right w:w="100" w:type="dxa"/>
            </w:tcMar>
          </w:tcPr>
          <w:p w14:paraId="2308C6D2" w14:textId="77777777" w:rsidR="00594865" w:rsidRDefault="0009704C">
            <w:pPr>
              <w:widowControl w:val="0"/>
              <w:spacing w:line="240" w:lineRule="auto"/>
              <w:rPr>
                <w:rFonts w:ascii="Roboto" w:eastAsia="Roboto" w:hAnsi="Roboto" w:cs="Roboto"/>
              </w:rPr>
            </w:pPr>
            <w:r>
              <w:rPr>
                <w:rFonts w:ascii="Roboto" w:eastAsia="Roboto" w:hAnsi="Roboto" w:cs="Roboto"/>
              </w:rPr>
              <w:t>Assessments clearly explain how and when students will receive feedback on both formative and summative assessments.</w:t>
            </w:r>
          </w:p>
        </w:tc>
        <w:tc>
          <w:tcPr>
            <w:tcW w:w="4380" w:type="dxa"/>
            <w:tcMar>
              <w:top w:w="100" w:type="dxa"/>
              <w:left w:w="100" w:type="dxa"/>
              <w:bottom w:w="100" w:type="dxa"/>
              <w:right w:w="100" w:type="dxa"/>
            </w:tcMar>
          </w:tcPr>
          <w:p w14:paraId="22C0254E" w14:textId="77777777" w:rsidR="00594865" w:rsidRDefault="0009704C">
            <w:pPr>
              <w:widowControl w:val="0"/>
              <w:spacing w:line="240" w:lineRule="auto"/>
              <w:rPr>
                <w:rFonts w:ascii="Roboto" w:eastAsia="Roboto" w:hAnsi="Roboto" w:cs="Roboto"/>
              </w:rPr>
            </w:pPr>
            <w:r>
              <w:rPr>
                <w:rFonts w:ascii="Roboto" w:eastAsia="Roboto" w:hAnsi="Roboto" w:cs="Roboto"/>
              </w:rPr>
              <w:t>The assessments provide clear instructions for how students can access their feedback in Canvas and may also include opportunities to use the feedback to improve future work.</w:t>
            </w:r>
          </w:p>
        </w:tc>
      </w:tr>
      <w:tr w:rsidR="00594865" w14:paraId="5278399D" w14:textId="77777777" w:rsidTr="5C96F7FE">
        <w:trPr>
          <w:cantSplit/>
        </w:trPr>
        <w:tc>
          <w:tcPr>
            <w:tcW w:w="1880" w:type="dxa"/>
            <w:tcMar>
              <w:top w:w="100" w:type="dxa"/>
              <w:left w:w="100" w:type="dxa"/>
              <w:bottom w:w="100" w:type="dxa"/>
              <w:right w:w="100" w:type="dxa"/>
            </w:tcMar>
          </w:tcPr>
          <w:p w14:paraId="55462EED" w14:textId="77777777" w:rsidR="00594865" w:rsidRDefault="0009704C">
            <w:pPr>
              <w:widowControl w:val="0"/>
              <w:spacing w:line="240" w:lineRule="auto"/>
              <w:rPr>
                <w:rFonts w:ascii="Roboto" w:eastAsia="Roboto" w:hAnsi="Roboto" w:cs="Roboto"/>
              </w:rPr>
            </w:pPr>
            <w:r>
              <w:rPr>
                <w:rFonts w:ascii="Roboto" w:eastAsia="Roboto" w:hAnsi="Roboto" w:cs="Roboto"/>
              </w:rPr>
              <w:lastRenderedPageBreak/>
              <w:t>4.5 Learner Self-</w:t>
            </w:r>
          </w:p>
          <w:p w14:paraId="00831BA9" w14:textId="77777777" w:rsidR="00594865" w:rsidRDefault="0009704C">
            <w:pPr>
              <w:widowControl w:val="0"/>
              <w:spacing w:line="240" w:lineRule="auto"/>
              <w:rPr>
                <w:rFonts w:ascii="Roboto" w:eastAsia="Roboto" w:hAnsi="Roboto" w:cs="Roboto"/>
              </w:rPr>
            </w:pPr>
            <w:r>
              <w:rPr>
                <w:rFonts w:ascii="Roboto" w:eastAsia="Roboto" w:hAnsi="Roboto" w:cs="Roboto"/>
              </w:rPr>
              <w:t>Reflection</w:t>
            </w:r>
          </w:p>
        </w:tc>
        <w:tc>
          <w:tcPr>
            <w:tcW w:w="1530" w:type="dxa"/>
            <w:tcMar>
              <w:top w:w="100" w:type="dxa"/>
              <w:left w:w="100" w:type="dxa"/>
              <w:bottom w:w="100" w:type="dxa"/>
              <w:right w:w="100" w:type="dxa"/>
            </w:tcMar>
          </w:tcPr>
          <w:p w14:paraId="40C8C28A"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710" w:type="dxa"/>
            <w:tcMar>
              <w:top w:w="100" w:type="dxa"/>
              <w:left w:w="100" w:type="dxa"/>
              <w:bottom w:w="100" w:type="dxa"/>
              <w:right w:w="100" w:type="dxa"/>
            </w:tcMar>
          </w:tcPr>
          <w:p w14:paraId="70DBFF0C"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220" w:type="dxa"/>
            <w:tcMar>
              <w:top w:w="100" w:type="dxa"/>
              <w:left w:w="100" w:type="dxa"/>
              <w:bottom w:w="100" w:type="dxa"/>
              <w:right w:w="100" w:type="dxa"/>
            </w:tcMar>
          </w:tcPr>
          <w:p w14:paraId="42D46FA3"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The course provides multiple opportunities for students to reflect on their learning and receive formative feedback from the instructor as appropriate.</w:t>
            </w:r>
          </w:p>
          <w:p w14:paraId="6ACB98DA" w14:textId="77777777" w:rsidR="00594865" w:rsidRDefault="00594865">
            <w:pPr>
              <w:widowControl w:val="0"/>
              <w:spacing w:line="240" w:lineRule="auto"/>
              <w:rPr>
                <w:rFonts w:ascii="Roboto" w:eastAsia="Roboto" w:hAnsi="Roboto" w:cs="Roboto"/>
              </w:rPr>
            </w:pPr>
          </w:p>
        </w:tc>
        <w:tc>
          <w:tcPr>
            <w:tcW w:w="4380" w:type="dxa"/>
            <w:tcMar>
              <w:top w:w="100" w:type="dxa"/>
              <w:left w:w="100" w:type="dxa"/>
              <w:bottom w:w="100" w:type="dxa"/>
              <w:right w:w="100" w:type="dxa"/>
            </w:tcMar>
          </w:tcPr>
          <w:p w14:paraId="1FB3DED4" w14:textId="77777777" w:rsidR="00594865" w:rsidRDefault="0009704C">
            <w:pPr>
              <w:widowControl w:val="0"/>
              <w:spacing w:line="240" w:lineRule="auto"/>
              <w:rPr>
                <w:rFonts w:ascii="Roboto" w:eastAsia="Roboto" w:hAnsi="Roboto" w:cs="Roboto"/>
              </w:rPr>
            </w:pPr>
            <w:r>
              <w:rPr>
                <w:rFonts w:ascii="Roboto" w:eastAsia="Roboto" w:hAnsi="Roboto" w:cs="Roboto"/>
              </w:rPr>
              <w:t>Reflection opportunities in the course help students connect their effort to results and plan for improvement.</w:t>
            </w:r>
          </w:p>
        </w:tc>
      </w:tr>
      <w:tr w:rsidR="00594865" w14:paraId="1D24FA56" w14:textId="77777777" w:rsidTr="5C96F7FE">
        <w:tc>
          <w:tcPr>
            <w:tcW w:w="1880" w:type="dxa"/>
            <w:tcMar>
              <w:top w:w="100" w:type="dxa"/>
              <w:left w:w="100" w:type="dxa"/>
              <w:bottom w:w="100" w:type="dxa"/>
              <w:right w:w="100" w:type="dxa"/>
            </w:tcMar>
          </w:tcPr>
          <w:p w14:paraId="69472AA1" w14:textId="77777777" w:rsidR="00594865" w:rsidRDefault="0009704C">
            <w:pPr>
              <w:widowControl w:val="0"/>
              <w:spacing w:line="240" w:lineRule="auto"/>
              <w:rPr>
                <w:rFonts w:ascii="Roboto" w:eastAsia="Roboto" w:hAnsi="Roboto" w:cs="Roboto"/>
              </w:rPr>
            </w:pPr>
            <w:r>
              <w:rPr>
                <w:rFonts w:ascii="Roboto" w:eastAsia="Roboto" w:hAnsi="Roboto" w:cs="Roboto"/>
              </w:rPr>
              <w:t>4.6 Learner Feedback Survey</w:t>
            </w:r>
          </w:p>
        </w:tc>
        <w:tc>
          <w:tcPr>
            <w:tcW w:w="1530" w:type="dxa"/>
            <w:tcMar>
              <w:top w:w="100" w:type="dxa"/>
              <w:left w:w="100" w:type="dxa"/>
              <w:bottom w:w="100" w:type="dxa"/>
              <w:right w:w="100" w:type="dxa"/>
            </w:tcMar>
          </w:tcPr>
          <w:p w14:paraId="6A3B4039" w14:textId="77777777" w:rsidR="00594865" w:rsidRDefault="0009704C">
            <w:pPr>
              <w:widowControl w:val="0"/>
              <w:spacing w:line="240" w:lineRule="auto"/>
              <w:rPr>
                <w:rFonts w:ascii="Roboto" w:eastAsia="Roboto" w:hAnsi="Roboto" w:cs="Roboto"/>
              </w:rPr>
            </w:pPr>
            <w:r>
              <w:rPr>
                <w:rFonts w:ascii="Roboto" w:eastAsia="Roboto" w:hAnsi="Roboto" w:cs="Roboto"/>
              </w:rPr>
              <w:t xml:space="preserve">Required items </w:t>
            </w:r>
            <w:proofErr w:type="gramStart"/>
            <w:r>
              <w:rPr>
                <w:rFonts w:ascii="Roboto" w:eastAsia="Roboto" w:hAnsi="Roboto" w:cs="Roboto"/>
              </w:rPr>
              <w:t>not</w:t>
            </w:r>
            <w:proofErr w:type="gramEnd"/>
            <w:r>
              <w:rPr>
                <w:rFonts w:ascii="Roboto" w:eastAsia="Roboto" w:hAnsi="Roboto" w:cs="Roboto"/>
              </w:rPr>
              <w:t xml:space="preserve"> present or seen.</w:t>
            </w:r>
          </w:p>
        </w:tc>
        <w:tc>
          <w:tcPr>
            <w:tcW w:w="1710" w:type="dxa"/>
            <w:tcMar>
              <w:top w:w="100" w:type="dxa"/>
              <w:left w:w="100" w:type="dxa"/>
              <w:bottom w:w="100" w:type="dxa"/>
              <w:right w:w="100" w:type="dxa"/>
            </w:tcMar>
          </w:tcPr>
          <w:p w14:paraId="7E1BAD76" w14:textId="77777777" w:rsidR="00594865" w:rsidRDefault="0009704C">
            <w:pPr>
              <w:widowControl w:val="0"/>
              <w:spacing w:line="240" w:lineRule="auto"/>
              <w:rPr>
                <w:rFonts w:ascii="Roboto" w:eastAsia="Roboto" w:hAnsi="Roboto" w:cs="Roboto"/>
              </w:rPr>
            </w:pPr>
            <w:r>
              <w:rPr>
                <w:rFonts w:ascii="Roboto" w:eastAsia="Roboto" w:hAnsi="Roboto" w:cs="Roboto"/>
              </w:rPr>
              <w:t>May need revision to reach aligned</w:t>
            </w:r>
          </w:p>
        </w:tc>
        <w:tc>
          <w:tcPr>
            <w:tcW w:w="3220" w:type="dxa"/>
            <w:tcMar>
              <w:top w:w="100" w:type="dxa"/>
              <w:left w:w="100" w:type="dxa"/>
              <w:bottom w:w="100" w:type="dxa"/>
              <w:right w:w="100" w:type="dxa"/>
            </w:tcMar>
          </w:tcPr>
          <w:p w14:paraId="06DA7125"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color w:val="222222"/>
                <w:lang w:val="en-US"/>
              </w:rPr>
              <w:t xml:space="preserve">At the end of the course, learners </w:t>
            </w:r>
            <w:proofErr w:type="gramStart"/>
            <w:r w:rsidRPr="5C96F7FE">
              <w:rPr>
                <w:rFonts w:ascii="Roboto" w:eastAsia="Roboto" w:hAnsi="Roboto" w:cs="Roboto"/>
                <w:color w:val="222222"/>
                <w:lang w:val="en-US"/>
              </w:rPr>
              <w:t>have the opportunity to</w:t>
            </w:r>
            <w:proofErr w:type="gramEnd"/>
            <w:r w:rsidRPr="5C96F7FE">
              <w:rPr>
                <w:rFonts w:ascii="Roboto" w:eastAsia="Roboto" w:hAnsi="Roboto" w:cs="Roboto"/>
                <w:color w:val="222222"/>
                <w:lang w:val="en-US"/>
              </w:rPr>
              <w:t xml:space="preserve"> give anonymous feedback to the instructor regarding course design and/or course content. </w:t>
            </w:r>
          </w:p>
        </w:tc>
        <w:tc>
          <w:tcPr>
            <w:tcW w:w="4380" w:type="dxa"/>
            <w:tcMar>
              <w:top w:w="100" w:type="dxa"/>
              <w:left w:w="100" w:type="dxa"/>
              <w:bottom w:w="100" w:type="dxa"/>
              <w:right w:w="100" w:type="dxa"/>
            </w:tcMar>
          </w:tcPr>
          <w:p w14:paraId="053353DD" w14:textId="77777777" w:rsidR="00594865" w:rsidRDefault="0009704C" w:rsidP="5C96F7FE">
            <w:pPr>
              <w:widowControl w:val="0"/>
              <w:spacing w:line="240" w:lineRule="auto"/>
              <w:rPr>
                <w:rFonts w:ascii="Roboto" w:eastAsia="Roboto" w:hAnsi="Roboto" w:cs="Roboto"/>
                <w:lang w:val="en-US"/>
              </w:rPr>
            </w:pPr>
            <w:r w:rsidRPr="5C96F7FE">
              <w:rPr>
                <w:rFonts w:ascii="Roboto" w:eastAsia="Roboto" w:hAnsi="Roboto" w:cs="Roboto"/>
                <w:lang w:val="en-US"/>
              </w:rPr>
              <w:t xml:space="preserve">There are opportunities throughout the course to give anonymous feedback regarding course design and/or course content. </w:t>
            </w:r>
          </w:p>
        </w:tc>
      </w:tr>
    </w:tbl>
    <w:p w14:paraId="2EA47FCC" w14:textId="77777777" w:rsidR="00594865" w:rsidRDefault="00594865">
      <w:pPr>
        <w:rPr>
          <w:rFonts w:ascii="Roboto" w:eastAsia="Roboto" w:hAnsi="Roboto" w:cs="Roboto"/>
        </w:rPr>
      </w:pPr>
    </w:p>
    <w:p w14:paraId="77C784AE" w14:textId="77777777" w:rsidR="00594865" w:rsidRDefault="00594865">
      <w:pPr>
        <w:rPr>
          <w:rFonts w:ascii="Roboto" w:eastAsia="Roboto" w:hAnsi="Roboto" w:cs="Roboto"/>
        </w:rPr>
      </w:pPr>
    </w:p>
    <w:p w14:paraId="3C3A03AB" w14:textId="77777777" w:rsidR="00594865" w:rsidRDefault="00594865">
      <w:pPr>
        <w:rPr>
          <w:rFonts w:ascii="Roboto" w:eastAsia="Roboto" w:hAnsi="Roboto" w:cs="Roboto"/>
        </w:rPr>
      </w:pPr>
    </w:p>
    <w:p w14:paraId="18AB85B9" w14:textId="77777777" w:rsidR="00594865" w:rsidRDefault="00594865">
      <w:pPr>
        <w:rPr>
          <w:rFonts w:ascii="Roboto" w:eastAsia="Roboto" w:hAnsi="Roboto" w:cs="Roboto"/>
        </w:rPr>
      </w:pPr>
    </w:p>
    <w:p w14:paraId="0735D271" w14:textId="77777777" w:rsidR="00594865" w:rsidRDefault="00594865">
      <w:pPr>
        <w:rPr>
          <w:rFonts w:ascii="Roboto" w:eastAsia="Roboto" w:hAnsi="Roboto" w:cs="Roboto"/>
        </w:rPr>
      </w:pPr>
    </w:p>
    <w:p w14:paraId="36D6F06C" w14:textId="77777777" w:rsidR="00594865" w:rsidRDefault="00594865">
      <w:pPr>
        <w:rPr>
          <w:rFonts w:ascii="Roboto" w:eastAsia="Roboto" w:hAnsi="Roboto" w:cs="Roboto"/>
        </w:rPr>
      </w:pPr>
    </w:p>
    <w:p w14:paraId="6ED241FD" w14:textId="77777777" w:rsidR="00594865" w:rsidRDefault="00594865">
      <w:pPr>
        <w:rPr>
          <w:rFonts w:ascii="Roboto" w:eastAsia="Roboto" w:hAnsi="Roboto" w:cs="Roboto"/>
        </w:rPr>
      </w:pPr>
    </w:p>
    <w:p w14:paraId="133A7030" w14:textId="77777777" w:rsidR="00594865" w:rsidRDefault="00594865">
      <w:pPr>
        <w:rPr>
          <w:rFonts w:ascii="Roboto" w:eastAsia="Roboto" w:hAnsi="Roboto" w:cs="Roboto"/>
        </w:rPr>
      </w:pPr>
    </w:p>
    <w:p w14:paraId="43EE9CDB" w14:textId="77777777" w:rsidR="00594865" w:rsidRDefault="00594865">
      <w:pPr>
        <w:rPr>
          <w:rFonts w:ascii="Roboto" w:eastAsia="Roboto" w:hAnsi="Roboto" w:cs="Roboto"/>
        </w:rPr>
      </w:pPr>
    </w:p>
    <w:p w14:paraId="340458F9" w14:textId="77777777" w:rsidR="00594865" w:rsidRDefault="00594865">
      <w:pPr>
        <w:rPr>
          <w:rFonts w:ascii="Roboto" w:eastAsia="Roboto" w:hAnsi="Roboto" w:cs="Roboto"/>
        </w:rPr>
      </w:pPr>
    </w:p>
    <w:p w14:paraId="25D61303" w14:textId="77777777" w:rsidR="00594865" w:rsidRDefault="00594865">
      <w:pPr>
        <w:rPr>
          <w:rFonts w:ascii="Roboto" w:eastAsia="Roboto" w:hAnsi="Roboto" w:cs="Roboto"/>
        </w:rPr>
      </w:pPr>
    </w:p>
    <w:p w14:paraId="20A429AA" w14:textId="77777777" w:rsidR="00594865" w:rsidRDefault="00594865">
      <w:pPr>
        <w:rPr>
          <w:rFonts w:ascii="Roboto" w:eastAsia="Roboto" w:hAnsi="Roboto" w:cs="Roboto"/>
        </w:rPr>
      </w:pPr>
    </w:p>
    <w:p w14:paraId="54DF34D9" w14:textId="77777777" w:rsidR="00594865" w:rsidRDefault="00594865">
      <w:pPr>
        <w:rPr>
          <w:rFonts w:ascii="Roboto" w:eastAsia="Roboto" w:hAnsi="Roboto" w:cs="Roboto"/>
          <w:b/>
          <w:bCs/>
          <w:color w:val="0066BA"/>
          <w:sz w:val="26"/>
          <w:szCs w:val="26"/>
        </w:rPr>
      </w:pPr>
    </w:p>
    <w:p w14:paraId="11FB5DB9" w14:textId="77777777" w:rsidR="00594865" w:rsidRDefault="0009704C">
      <w:pPr>
        <w:pStyle w:val="Heading2"/>
      </w:pPr>
      <w:bookmarkStart w:id="11" w:name="_heading=h.i1ya0fz5ddrf" w:colFirst="0" w:colLast="0"/>
      <w:bookmarkEnd w:id="11"/>
      <w:r>
        <w:lastRenderedPageBreak/>
        <w:t>Accessibility Verification</w:t>
      </w:r>
    </w:p>
    <w:p w14:paraId="73474377" w14:textId="77777777" w:rsidR="00594865" w:rsidRDefault="00594865">
      <w:pPr>
        <w:rPr>
          <w:rFonts w:ascii="Roboto" w:eastAsia="Roboto" w:hAnsi="Roboto" w:cs="Roboto"/>
          <w:b/>
          <w:bCs/>
          <w:color w:val="0066BA"/>
          <w:sz w:val="12"/>
          <w:szCs w:val="12"/>
        </w:rPr>
      </w:pPr>
    </w:p>
    <w:tbl>
      <w:tblPr>
        <w:tblStyle w:val="a3"/>
        <w:tblW w:w="127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2720"/>
      </w:tblGrid>
      <w:tr w:rsidR="00594865" w14:paraId="1D0B5777" w14:textId="77777777" w:rsidTr="6E657ADB">
        <w:trPr>
          <w:cantSplit/>
          <w:trHeight w:val="420"/>
        </w:trPr>
        <w:tc>
          <w:tcPr>
            <w:tcW w:w="12720" w:type="dxa"/>
            <w:tcMar>
              <w:top w:w="100" w:type="dxa"/>
              <w:left w:w="100" w:type="dxa"/>
              <w:bottom w:w="100" w:type="dxa"/>
              <w:right w:w="100" w:type="dxa"/>
            </w:tcMar>
          </w:tcPr>
          <w:p w14:paraId="0FF43474" w14:textId="77777777" w:rsidR="00594865" w:rsidRDefault="0009704C" w:rsidP="6E657ADB">
            <w:pPr>
              <w:spacing w:before="240" w:after="240"/>
              <w:ind w:left="600" w:right="600"/>
              <w:rPr>
                <w:rFonts w:ascii="Roboto" w:eastAsia="Roboto" w:hAnsi="Roboto" w:cs="Roboto"/>
                <w:lang w:val="en-US"/>
              </w:rPr>
            </w:pPr>
            <w:r w:rsidRPr="6E657ADB">
              <w:rPr>
                <w:rFonts w:ascii="Roboto" w:eastAsia="Roboto" w:hAnsi="Roboto" w:cs="Roboto"/>
                <w:lang w:val="en-US"/>
              </w:rPr>
              <w:t>This aligned course has been checked using the accessibility tools and procedures provided by the college and any identified issues have been addressed by the course author to meet digital accessibility requirements at the time of review.</w:t>
            </w:r>
          </w:p>
          <w:p w14:paraId="268D0229" w14:textId="77777777" w:rsidR="00594865" w:rsidRDefault="0009704C">
            <w:pPr>
              <w:numPr>
                <w:ilvl w:val="0"/>
                <w:numId w:val="1"/>
              </w:numPr>
              <w:spacing w:before="240"/>
              <w:ind w:right="600"/>
              <w:rPr>
                <w:rFonts w:ascii="Roboto" w:eastAsia="Roboto" w:hAnsi="Roboto" w:cs="Roboto"/>
              </w:rPr>
            </w:pPr>
            <w:r>
              <w:rPr>
                <w:rFonts w:ascii="Roboto" w:eastAsia="Roboto" w:hAnsi="Roboto" w:cs="Roboto"/>
              </w:rPr>
              <w:t>Course Author</w:t>
            </w:r>
          </w:p>
          <w:p w14:paraId="0A98A555" w14:textId="77777777" w:rsidR="00594865" w:rsidRDefault="0009704C">
            <w:pPr>
              <w:numPr>
                <w:ilvl w:val="0"/>
                <w:numId w:val="1"/>
              </w:numPr>
              <w:spacing w:after="240"/>
              <w:ind w:right="600"/>
              <w:rPr>
                <w:rFonts w:ascii="Roboto" w:eastAsia="Roboto" w:hAnsi="Roboto" w:cs="Roboto"/>
              </w:rPr>
            </w:pPr>
            <w:r>
              <w:rPr>
                <w:rFonts w:ascii="Roboto" w:eastAsia="Roboto" w:hAnsi="Roboto" w:cs="Roboto"/>
              </w:rPr>
              <w:t>POCR Lead</w:t>
            </w:r>
          </w:p>
        </w:tc>
      </w:tr>
      <w:tr w:rsidR="00594865" w14:paraId="60BB5A48" w14:textId="77777777" w:rsidTr="6E657ADB">
        <w:trPr>
          <w:cantSplit/>
          <w:trHeight w:val="420"/>
        </w:trPr>
        <w:tc>
          <w:tcPr>
            <w:tcW w:w="12720" w:type="dxa"/>
            <w:tcMar>
              <w:top w:w="100" w:type="dxa"/>
              <w:left w:w="100" w:type="dxa"/>
              <w:bottom w:w="100" w:type="dxa"/>
              <w:right w:w="100" w:type="dxa"/>
            </w:tcMar>
          </w:tcPr>
          <w:p w14:paraId="572742CD" w14:textId="77777777" w:rsidR="00594865" w:rsidRDefault="0009704C">
            <w:pPr>
              <w:spacing w:before="240" w:after="240"/>
              <w:ind w:left="600" w:right="600"/>
              <w:rPr>
                <w:rFonts w:ascii="Roboto" w:eastAsia="Roboto" w:hAnsi="Roboto" w:cs="Roboto"/>
              </w:rPr>
            </w:pPr>
            <w:r>
              <w:rPr>
                <w:rFonts w:ascii="Roboto" w:eastAsia="Roboto" w:hAnsi="Roboto" w:cs="Roboto"/>
              </w:rPr>
              <w:t>Any educational technology tools present in the course have been vetted through the institution’s accessibility review and approval process.</w:t>
            </w:r>
          </w:p>
          <w:p w14:paraId="183A92C2" w14:textId="77777777" w:rsidR="00594865" w:rsidRDefault="0009704C">
            <w:pPr>
              <w:numPr>
                <w:ilvl w:val="0"/>
                <w:numId w:val="2"/>
              </w:numPr>
              <w:spacing w:before="240"/>
              <w:ind w:right="600"/>
              <w:rPr>
                <w:rFonts w:ascii="Roboto" w:eastAsia="Roboto" w:hAnsi="Roboto" w:cs="Roboto"/>
              </w:rPr>
            </w:pPr>
            <w:r>
              <w:rPr>
                <w:rFonts w:ascii="Roboto" w:eastAsia="Roboto" w:hAnsi="Roboto" w:cs="Roboto"/>
              </w:rPr>
              <w:t>Course Author</w:t>
            </w:r>
          </w:p>
          <w:p w14:paraId="1A1CDF9D" w14:textId="77777777" w:rsidR="00594865" w:rsidRDefault="0009704C">
            <w:pPr>
              <w:numPr>
                <w:ilvl w:val="0"/>
                <w:numId w:val="2"/>
              </w:numPr>
              <w:spacing w:after="240"/>
              <w:ind w:right="600"/>
              <w:rPr>
                <w:rFonts w:ascii="Roboto" w:eastAsia="Roboto" w:hAnsi="Roboto" w:cs="Roboto"/>
              </w:rPr>
            </w:pPr>
            <w:r>
              <w:rPr>
                <w:rFonts w:ascii="Roboto" w:eastAsia="Roboto" w:hAnsi="Roboto" w:cs="Roboto"/>
              </w:rPr>
              <w:t>POCR Lead</w:t>
            </w:r>
          </w:p>
        </w:tc>
      </w:tr>
    </w:tbl>
    <w:p w14:paraId="0E836A9B" w14:textId="77777777" w:rsidR="00594865" w:rsidRDefault="00594865">
      <w:pPr>
        <w:rPr>
          <w:rFonts w:ascii="Roboto" w:eastAsia="Roboto" w:hAnsi="Roboto" w:cs="Roboto"/>
        </w:rPr>
      </w:pPr>
    </w:p>
    <w:sectPr w:rsidR="00594865">
      <w:headerReference w:type="default" r:id="rId12"/>
      <w:footerReference w:type="default" r:id="rId13"/>
      <w:footerReference w:type="first" r:id="rId14"/>
      <w:pgSz w:w="15840" w:h="12240" w:orient="landscape"/>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8DF99" w14:textId="77777777" w:rsidR="0009704C" w:rsidRDefault="0009704C">
      <w:pPr>
        <w:spacing w:line="240" w:lineRule="auto"/>
      </w:pPr>
      <w:r>
        <w:separator/>
      </w:r>
    </w:p>
  </w:endnote>
  <w:endnote w:type="continuationSeparator" w:id="0">
    <w:p w14:paraId="5144D2DE" w14:textId="77777777" w:rsidR="0009704C" w:rsidRDefault="000970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B6DCE8A9-FA5B-4CAE-A9C4-6C589D0477FA}"/>
    <w:embedBold r:id="rId2" w:fontKey="{F8194224-3E2A-4D9F-92AD-DF58AD1E9C31}"/>
    <w:embedItalic r:id="rId3" w:fontKey="{58A8FDC6-9681-4D6A-8972-25517A0A0563}"/>
    <w:embedBoldItalic r:id="rId4" w:fontKey="{A6ED95E6-E618-41DC-9A27-DAB0CADFD10D}"/>
  </w:font>
  <w:font w:name="Calibri">
    <w:panose1 w:val="020F0502020204030204"/>
    <w:charset w:val="00"/>
    <w:family w:val="swiss"/>
    <w:pitch w:val="variable"/>
    <w:sig w:usb0="E4002EFF" w:usb1="C200247B" w:usb2="00000009" w:usb3="00000000" w:csb0="000001FF" w:csb1="00000000"/>
    <w:embedRegular r:id="rId5" w:fontKey="{B1AE47C8-7A85-4400-B09A-1F7F8A46A419}"/>
  </w:font>
  <w:font w:name="Cambria">
    <w:panose1 w:val="02040503050406030204"/>
    <w:charset w:val="00"/>
    <w:family w:val="roman"/>
    <w:pitch w:val="variable"/>
    <w:sig w:usb0="E00006FF" w:usb1="420024FF" w:usb2="02000000" w:usb3="00000000" w:csb0="0000019F" w:csb1="00000000"/>
    <w:embedRegular r:id="rId6" w:fontKey="{6F4D31B8-FB08-46DA-86E8-73ADADB6E6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0F1B5" w14:textId="4CDB12E1" w:rsidR="00594865" w:rsidRDefault="0009704C">
    <w:pPr>
      <w:jc w:val="right"/>
      <w:rPr>
        <w:rFonts w:ascii="Roboto" w:eastAsia="Roboto" w:hAnsi="Roboto" w:cs="Roboto"/>
      </w:rPr>
    </w:pPr>
    <w:r>
      <w:rPr>
        <w:rFonts w:ascii="Roboto" w:eastAsia="Roboto" w:hAnsi="Roboto" w:cs="Roboto"/>
      </w:rPr>
      <w:fldChar w:fldCharType="begin"/>
    </w:r>
    <w:r>
      <w:rPr>
        <w:rFonts w:ascii="Roboto" w:eastAsia="Roboto" w:hAnsi="Roboto" w:cs="Roboto"/>
      </w:rPr>
      <w:instrText>PAGE</w:instrText>
    </w:r>
    <w:r>
      <w:rPr>
        <w:rFonts w:ascii="Roboto" w:eastAsia="Roboto" w:hAnsi="Roboto" w:cs="Roboto"/>
      </w:rPr>
      <w:fldChar w:fldCharType="separate"/>
    </w:r>
    <w:r w:rsidR="00A33387">
      <w:rPr>
        <w:rFonts w:ascii="Roboto" w:eastAsia="Roboto" w:hAnsi="Roboto" w:cs="Roboto"/>
        <w:noProof/>
      </w:rPr>
      <w:t>1</w:t>
    </w:r>
    <w:r>
      <w:rPr>
        <w:rFonts w:ascii="Roboto" w:eastAsia="Roboto" w:hAnsi="Roboto" w:cs="Roboto"/>
      </w:rPr>
      <w:fldChar w:fldCharType="end"/>
    </w:r>
  </w:p>
  <w:p w14:paraId="07D5882C" w14:textId="77777777" w:rsidR="00594865" w:rsidRDefault="00594865">
    <w:pPr>
      <w:jc w:val="right"/>
      <w:rPr>
        <w:rFonts w:ascii="Roboto" w:eastAsia="Roboto" w:hAnsi="Roboto" w:cs="Robo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821ED" w14:textId="77777777" w:rsidR="00594865" w:rsidRDefault="005948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70286" w14:textId="77777777" w:rsidR="0009704C" w:rsidRDefault="0009704C">
      <w:pPr>
        <w:spacing w:line="240" w:lineRule="auto"/>
      </w:pPr>
      <w:r>
        <w:separator/>
      </w:r>
    </w:p>
  </w:footnote>
  <w:footnote w:type="continuationSeparator" w:id="0">
    <w:p w14:paraId="0BE6D14E" w14:textId="77777777" w:rsidR="0009704C" w:rsidRDefault="000970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45F6" w14:textId="77777777" w:rsidR="00594865" w:rsidRDefault="00594865">
    <w:pPr>
      <w:pStyle w:val="Heading1"/>
      <w:widowControl w:val="0"/>
      <w:spacing w:line="240" w:lineRule="auto"/>
    </w:pPr>
    <w:bookmarkStart w:id="12" w:name="_heading=h.udi7h5p6wwot" w:colFirst="0" w:colLast="0"/>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52DB5"/>
    <w:multiLevelType w:val="multilevel"/>
    <w:tmpl w:val="5EFEC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F0B4837"/>
    <w:multiLevelType w:val="multilevel"/>
    <w:tmpl w:val="2DD47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04249931">
    <w:abstractNumId w:val="1"/>
  </w:num>
  <w:num w:numId="2" w16cid:durableId="1545092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865"/>
    <w:rsid w:val="0009704C"/>
    <w:rsid w:val="000E79BF"/>
    <w:rsid w:val="00233501"/>
    <w:rsid w:val="00350FEE"/>
    <w:rsid w:val="003A0821"/>
    <w:rsid w:val="00594865"/>
    <w:rsid w:val="007F0F31"/>
    <w:rsid w:val="00A33387"/>
    <w:rsid w:val="00B939CF"/>
    <w:rsid w:val="00DB36ED"/>
    <w:rsid w:val="00F70FB8"/>
    <w:rsid w:val="5C96F7FE"/>
    <w:rsid w:val="6E657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83C6"/>
  <w15:docId w15:val="{C3D48875-6A35-C44A-A7A2-E37CBE37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F424D1EDEA1B44B4F85DF4F597EC9A" ma:contentTypeVersion="" ma:contentTypeDescription="Create a new document." ma:contentTypeScope="" ma:versionID="e2761a57d1f53195b541c68e52b531d1">
  <xsd:schema xmlns:xsd="http://www.w3.org/2001/XMLSchema" xmlns:xs="http://www.w3.org/2001/XMLSchema" xmlns:p="http://schemas.microsoft.com/office/2006/metadata/properties" xmlns:ns2="454fd486-4e42-4a7f-bc2f-e2145d19cd8b" xmlns:ns3="212a144b-0a3d-4ce9-9a18-2cd4ad3d75b8" targetNamespace="http://schemas.microsoft.com/office/2006/metadata/properties" ma:root="true" ma:fieldsID="0e971ffe716f87683f3c9abb6f307dcb" ns2:_="" ns3:_="">
    <xsd:import namespace="454fd486-4e42-4a7f-bc2f-e2145d19cd8b"/>
    <xsd:import namespace="212a144b-0a3d-4ce9-9a18-2cd4ad3d75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4fd486-4e42-4a7f-bc2f-e2145d19cd8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765839eb-f74a-49db-a4ae-21be6eea6ea5}" ma:internalName="TaxCatchAll" ma:showField="CatchAllData" ma:web="454fd486-4e42-4a7f-bc2f-e2145d19cd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2a144b-0a3d-4ce9-9a18-2cd4ad3d75b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c773ff0-bf06-4c50-8fe9-1046dad4180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2a144b-0a3d-4ce9-9a18-2cd4ad3d75b8">
      <Terms xmlns="http://schemas.microsoft.com/office/infopath/2007/PartnerControls"/>
    </lcf76f155ced4ddcb4097134ff3c332f>
    <TaxCatchAll xmlns="454fd486-4e42-4a7f-bc2f-e2145d19cd8b"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1t0QSti/k7EkwV7ugYHURTkyGQ==">CgMxLjAyDmgucDZsdm9uZjNkMGMyMg5oLnNua2Y1cDZvdjZzYzIOaC5ja2QybWJ3cHR6aGUyDmgubXhpcHZmNjJwcW9tMg5oLnZrMjU2c2VucWRuMTIOaC4xN2NvZDQ3ZDRoY2MyDmgucHkwNXpyZzgzdGY2Mg5oLnhzdzF2eTExMjhqdzIOaC5udGl3NWhldHVtMmcyDmgudGtrbHY2YXI2cmplMg5oLndlc2Z4cnZndHZ0aTIOaC5pMXlhMGZ6NWRkcmYyDmgudWRpN2g1cDZ3d290OAByITEwbXBuajIweXdQVHluY0Y3OVg0WlJuTERwN0QtbWwzMA==</go:docsCustomData>
</go:gDocsCustomXmlDataStorage>
</file>

<file path=customXml/itemProps1.xml><?xml version="1.0" encoding="utf-8"?>
<ds:datastoreItem xmlns:ds="http://schemas.openxmlformats.org/officeDocument/2006/customXml" ds:itemID="{7CFE4C97-9360-4C53-9997-2A10EA955CAB}">
  <ds:schemaRefs>
    <ds:schemaRef ds:uri="http://schemas.microsoft.com/sharepoint/v3/contenttype/forms"/>
  </ds:schemaRefs>
</ds:datastoreItem>
</file>

<file path=customXml/itemProps2.xml><?xml version="1.0" encoding="utf-8"?>
<ds:datastoreItem xmlns:ds="http://schemas.openxmlformats.org/officeDocument/2006/customXml" ds:itemID="{3DCC2B70-D6B1-4128-B740-679B9B266B83}"/>
</file>

<file path=customXml/itemProps3.xml><?xml version="1.0" encoding="utf-8"?>
<ds:datastoreItem xmlns:ds="http://schemas.openxmlformats.org/officeDocument/2006/customXml" ds:itemID="{3AC24A31-0580-4360-96E3-62308B5DF0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1900</Words>
  <Characters>10716</Characters>
  <Application>Microsoft Office Word</Application>
  <DocSecurity>0</DocSecurity>
  <Lines>162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2027-CVC-Course-Design-Rubric</dc:title>
  <dc:creator>Rebecka Zepeda</dc:creator>
  <cp:lastModifiedBy>Rebecka Zepeda</cp:lastModifiedBy>
  <cp:revision>3</cp:revision>
  <dcterms:created xsi:type="dcterms:W3CDTF">2026-10-26T19:03:00Z</dcterms:created>
  <dcterms:modified xsi:type="dcterms:W3CDTF">2026-10-26T19:03:00Z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0x010100F0F424D1EDEA1B44B4F85DF4F597EC9A</vt:lpwstr>
  </property>
</Properties>
</file>