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25"/>
        <w:gridCol w:w="6925"/>
      </w:tblGrid>
      <w:tr w:rsidR="006B3405" w14:paraId="0AAC1912" w14:textId="77777777" w:rsidTr="006B3405">
        <w:tc>
          <w:tcPr>
            <w:tcW w:w="2425" w:type="dxa"/>
            <w:shd w:val="clear" w:color="auto" w:fill="BFBFBF" w:themeFill="background1" w:themeFillShade="BF"/>
          </w:tcPr>
          <w:p w14:paraId="1D26079D" w14:textId="77777777" w:rsidR="006B3405" w:rsidRDefault="006B3405">
            <w:r>
              <w:t>NAME OF COMMITTEE</w:t>
            </w:r>
          </w:p>
        </w:tc>
        <w:tc>
          <w:tcPr>
            <w:tcW w:w="6925" w:type="dxa"/>
          </w:tcPr>
          <w:p w14:paraId="56FEDE89" w14:textId="77777777" w:rsidR="006B3405" w:rsidRPr="009A5258" w:rsidRDefault="006B3405">
            <w:pPr>
              <w:rPr>
                <w:b/>
              </w:rPr>
            </w:pPr>
            <w:r w:rsidRPr="009A5258">
              <w:rPr>
                <w:b/>
              </w:rPr>
              <w:t>Equal Opportunity &amp; Diversity Advisory Committee (EODAC)</w:t>
            </w:r>
          </w:p>
        </w:tc>
      </w:tr>
      <w:tr w:rsidR="00411450" w:rsidRPr="00C11190" w14:paraId="608FCD2A" w14:textId="77777777" w:rsidTr="006B3405">
        <w:tc>
          <w:tcPr>
            <w:tcW w:w="2425" w:type="dxa"/>
            <w:shd w:val="clear" w:color="auto" w:fill="BFBFBF" w:themeFill="background1" w:themeFillShade="BF"/>
          </w:tcPr>
          <w:p w14:paraId="03E576F7" w14:textId="44B7551C" w:rsidR="00411450" w:rsidRPr="00C11190" w:rsidRDefault="00411450">
            <w:pPr>
              <w:rPr>
                <w:color w:val="000000" w:themeColor="text1"/>
              </w:rPr>
            </w:pPr>
            <w:r w:rsidRPr="00C11190">
              <w:rPr>
                <w:color w:val="000000" w:themeColor="text1"/>
              </w:rPr>
              <w:t>TYPE OF COMMITTEE</w:t>
            </w:r>
          </w:p>
        </w:tc>
        <w:tc>
          <w:tcPr>
            <w:tcW w:w="6925" w:type="dxa"/>
          </w:tcPr>
          <w:p w14:paraId="1511A266" w14:textId="1223ED86" w:rsidR="00411450" w:rsidRPr="00C11190" w:rsidRDefault="00411450">
            <w:pPr>
              <w:rPr>
                <w:b/>
                <w:color w:val="000000" w:themeColor="text1"/>
              </w:rPr>
            </w:pPr>
            <w:r w:rsidRPr="00C11190">
              <w:rPr>
                <w:b/>
                <w:color w:val="000000" w:themeColor="text1"/>
              </w:rPr>
              <w:t>Shared Governance</w:t>
            </w:r>
          </w:p>
        </w:tc>
      </w:tr>
      <w:tr w:rsidR="006B3405" w14:paraId="4A13F79C" w14:textId="77777777" w:rsidTr="006B3405">
        <w:tc>
          <w:tcPr>
            <w:tcW w:w="2425" w:type="dxa"/>
            <w:shd w:val="clear" w:color="auto" w:fill="BFBFBF" w:themeFill="background1" w:themeFillShade="BF"/>
          </w:tcPr>
          <w:p w14:paraId="074A7F37" w14:textId="08D444C8" w:rsidR="006B3405" w:rsidRDefault="006B3405"/>
        </w:tc>
        <w:tc>
          <w:tcPr>
            <w:tcW w:w="6925" w:type="dxa"/>
          </w:tcPr>
          <w:p w14:paraId="4FFF12E2" w14:textId="77777777" w:rsidR="006B3405" w:rsidRDefault="006B3405" w:rsidP="006B3405">
            <w:r w:rsidRPr="0000024C">
              <w:rPr>
                <w:b/>
              </w:rPr>
              <w:t>Purpose of the EODAC</w:t>
            </w:r>
            <w:r>
              <w:t>: The Equal Opportunity and Diversity Advisory Committee (EODAC) plays a pivotal role in championing diversity, equity, inclusion, accessibility, and anti-racism at Bakersfield College and within the Kern Community College District (KCCD). By advising the college president and collaborating with diverse stakeholders, EODAC is dedicated to nurturing an educational environment that prioritizes inclusivity and equitable practices.</w:t>
            </w:r>
          </w:p>
          <w:p w14:paraId="078440E5" w14:textId="77777777" w:rsidR="0000024C" w:rsidRDefault="0000024C" w:rsidP="0000024C">
            <w:r w:rsidRPr="0000024C">
              <w:rPr>
                <w:b/>
              </w:rPr>
              <w:t>EODAC Responsibilities</w:t>
            </w:r>
            <w:r>
              <w:t>:</w:t>
            </w:r>
          </w:p>
          <w:p w14:paraId="77BA4E08" w14:textId="77777777" w:rsidR="0000024C" w:rsidRDefault="0000024C" w:rsidP="0000024C">
            <w:pPr>
              <w:pStyle w:val="ListParagraph"/>
              <w:numPr>
                <w:ilvl w:val="0"/>
                <w:numId w:val="4"/>
              </w:numPr>
            </w:pPr>
            <w:r>
              <w:t>Formulate and advocate for policies that promote diversity, equity, inclusion, and accessibility.</w:t>
            </w:r>
          </w:p>
          <w:p w14:paraId="415075A1" w14:textId="57D2563B" w:rsidR="0000024C" w:rsidRDefault="0000024C" w:rsidP="0000024C">
            <w:pPr>
              <w:pStyle w:val="ListParagraph"/>
              <w:numPr>
                <w:ilvl w:val="0"/>
                <w:numId w:val="4"/>
              </w:numPr>
            </w:pPr>
            <w:r>
              <w:t xml:space="preserve">Periodically reassess and </w:t>
            </w:r>
            <w:r w:rsidR="00411450" w:rsidRPr="00C11190">
              <w:rPr>
                <w:color w:val="000000" w:themeColor="text1"/>
              </w:rPr>
              <w:t>recommend</w:t>
            </w:r>
            <w:r w:rsidR="007063DE" w:rsidRPr="00C11190">
              <w:rPr>
                <w:color w:val="000000" w:themeColor="text1"/>
              </w:rPr>
              <w:t>s</w:t>
            </w:r>
            <w:r w:rsidR="00411450" w:rsidRPr="00C11190">
              <w:rPr>
                <w:color w:val="000000" w:themeColor="text1"/>
              </w:rPr>
              <w:t xml:space="preserve"> </w:t>
            </w:r>
            <w:r w:rsidRPr="00C11190">
              <w:rPr>
                <w:color w:val="000000" w:themeColor="text1"/>
              </w:rPr>
              <w:t>update</w:t>
            </w:r>
            <w:r w:rsidR="00411450" w:rsidRPr="00C11190">
              <w:rPr>
                <w:color w:val="000000" w:themeColor="text1"/>
              </w:rPr>
              <w:t>s</w:t>
            </w:r>
            <w:r w:rsidRPr="00C11190">
              <w:rPr>
                <w:color w:val="000000" w:themeColor="text1"/>
              </w:rPr>
              <w:t xml:space="preserve"> </w:t>
            </w:r>
            <w:r w:rsidR="00411450" w:rsidRPr="00C11190">
              <w:rPr>
                <w:color w:val="000000" w:themeColor="text1"/>
              </w:rPr>
              <w:t>to</w:t>
            </w:r>
            <w:r w:rsidR="00411450">
              <w:rPr>
                <w:color w:val="FF0000"/>
              </w:rPr>
              <w:t xml:space="preserve"> </w:t>
            </w:r>
            <w:r>
              <w:t>the college's Diversity Statement and associated policies to reflect current needs and standards.</w:t>
            </w:r>
          </w:p>
          <w:p w14:paraId="46BD6A8B" w14:textId="77777777" w:rsidR="0000024C" w:rsidRDefault="0000024C" w:rsidP="0000024C">
            <w:pPr>
              <w:pStyle w:val="ListParagraph"/>
              <w:numPr>
                <w:ilvl w:val="0"/>
                <w:numId w:val="4"/>
              </w:numPr>
            </w:pPr>
            <w:r>
              <w:t>Identify and address systemic barriers that disproportionately affect marginalized student groups, proposing actionable solutions.</w:t>
            </w:r>
          </w:p>
          <w:p w14:paraId="6BAD3427" w14:textId="77777777" w:rsidR="0000024C" w:rsidRDefault="0000024C" w:rsidP="0000024C">
            <w:pPr>
              <w:pStyle w:val="ListParagraph"/>
              <w:numPr>
                <w:ilvl w:val="0"/>
                <w:numId w:val="4"/>
              </w:numPr>
            </w:pPr>
            <w:r>
              <w:t>Guide equitable recruitment, retention, and professional development of staff and faculty to foster a diverse and inclusive workforce.</w:t>
            </w:r>
          </w:p>
          <w:p w14:paraId="6EB6BE51" w14:textId="77777777" w:rsidR="0000024C" w:rsidRDefault="0000024C" w:rsidP="0000024C">
            <w:pPr>
              <w:pStyle w:val="ListParagraph"/>
              <w:numPr>
                <w:ilvl w:val="0"/>
                <w:numId w:val="4"/>
              </w:numPr>
            </w:pPr>
            <w:r>
              <w:t>Facilitate partnerships and initiatives aimed at enhancing student success through an equity lens.</w:t>
            </w:r>
          </w:p>
          <w:p w14:paraId="73B016E5" w14:textId="77777777" w:rsidR="0000024C" w:rsidRDefault="0000024C" w:rsidP="0000024C">
            <w:pPr>
              <w:pStyle w:val="ListParagraph"/>
              <w:numPr>
                <w:ilvl w:val="0"/>
                <w:numId w:val="4"/>
              </w:numPr>
            </w:pPr>
            <w:r>
              <w:t>Organize and deliver training sessions on diversity, leadership, and anti-racism to cultivate a campus culture of inclusivity and respect.</w:t>
            </w:r>
          </w:p>
          <w:p w14:paraId="456B3791" w14:textId="77777777" w:rsidR="00993CF5" w:rsidRDefault="0000024C" w:rsidP="0000024C">
            <w:pPr>
              <w:pStyle w:val="ListParagraph"/>
              <w:numPr>
                <w:ilvl w:val="0"/>
                <w:numId w:val="4"/>
              </w:numPr>
            </w:pPr>
            <w:r>
              <w:t>Actively engage in dialogue and advocacy on issues concerning diversity, equity, inclusion, accessibility, and anti-racism.</w:t>
            </w:r>
          </w:p>
          <w:p w14:paraId="3D3F9090" w14:textId="77777777" w:rsidR="006B3405" w:rsidRDefault="006B3405" w:rsidP="0000024C">
            <w:pPr>
              <w:pStyle w:val="ListParagraph"/>
              <w:numPr>
                <w:ilvl w:val="0"/>
                <w:numId w:val="4"/>
              </w:numPr>
            </w:pPr>
            <w:r>
              <w:t>Impact on Equal Employment Opportunity (EEO):</w:t>
            </w:r>
          </w:p>
          <w:p w14:paraId="4A99CAD0" w14:textId="77777777" w:rsidR="006B3405" w:rsidRDefault="006B3405" w:rsidP="006B3405">
            <w:pPr>
              <w:pStyle w:val="ListParagraph"/>
              <w:numPr>
                <w:ilvl w:val="0"/>
                <w:numId w:val="2"/>
              </w:numPr>
            </w:pPr>
            <w:r>
              <w:t>Collaborate with the HR EEO Officer to ensure a diverse and inclusive faculty and staff composition.</w:t>
            </w:r>
          </w:p>
          <w:p w14:paraId="090679FD" w14:textId="77777777" w:rsidR="006B3405" w:rsidRDefault="006B3405" w:rsidP="006B3405">
            <w:pPr>
              <w:pStyle w:val="ListParagraph"/>
              <w:numPr>
                <w:ilvl w:val="0"/>
                <w:numId w:val="2"/>
              </w:numPr>
            </w:pPr>
            <w:r>
              <w:t>Enhance the inclusivity of the hiring process with targeted training and policy reforms.</w:t>
            </w:r>
          </w:p>
          <w:p w14:paraId="58828C04" w14:textId="77777777" w:rsidR="006B3405" w:rsidRDefault="006B3405" w:rsidP="006B3405">
            <w:pPr>
              <w:pStyle w:val="ListParagraph"/>
              <w:numPr>
                <w:ilvl w:val="0"/>
                <w:numId w:val="2"/>
              </w:numPr>
            </w:pPr>
            <w:r>
              <w:t>Design job announcements that embody inclusivity, equity, and EEO principles.</w:t>
            </w:r>
          </w:p>
          <w:p w14:paraId="23425CA2" w14:textId="77777777" w:rsidR="006B3405" w:rsidRDefault="006B3405" w:rsidP="006B3405">
            <w:pPr>
              <w:pStyle w:val="ListParagraph"/>
              <w:numPr>
                <w:ilvl w:val="0"/>
                <w:numId w:val="2"/>
              </w:numPr>
            </w:pPr>
            <w:r>
              <w:t>Develop strategies for recruiting and retaining a workforce that mirrors the diversity of our student population and community.</w:t>
            </w:r>
          </w:p>
          <w:p w14:paraId="43E86AE6" w14:textId="77777777" w:rsidR="006B3405" w:rsidRDefault="006B3405" w:rsidP="006B3405">
            <w:r w:rsidRPr="0000024C">
              <w:rPr>
                <w:b/>
              </w:rPr>
              <w:t>Professional Development and Currency of Skills</w:t>
            </w:r>
            <w:r>
              <w:t>:</w:t>
            </w:r>
          </w:p>
          <w:p w14:paraId="4659CE4C" w14:textId="77777777" w:rsidR="006B3405" w:rsidRDefault="006B3405" w:rsidP="006B3405">
            <w:pPr>
              <w:pStyle w:val="ListParagraph"/>
              <w:numPr>
                <w:ilvl w:val="0"/>
                <w:numId w:val="1"/>
              </w:numPr>
            </w:pPr>
            <w:r>
              <w:t>Commit to continuous professional growth to stay informed on ASCCC, Title V, Department of Education mandates, and other pertinent initiatives.</w:t>
            </w:r>
          </w:p>
          <w:p w14:paraId="7E4C2427" w14:textId="77777777" w:rsidR="006B3405" w:rsidRDefault="006B3405" w:rsidP="006B3405">
            <w:pPr>
              <w:pStyle w:val="ListParagraph"/>
              <w:numPr>
                <w:ilvl w:val="0"/>
                <w:numId w:val="1"/>
              </w:numPr>
            </w:pPr>
            <w:r>
              <w:t>Engage in statewide conferences to exchange best practices and enhance our expertise in diversity, equity, inclusion, and anti-racism strategies.</w:t>
            </w:r>
          </w:p>
        </w:tc>
      </w:tr>
      <w:tr w:rsidR="006B3405" w14:paraId="7C8579C2" w14:textId="77777777" w:rsidTr="006B3405">
        <w:tc>
          <w:tcPr>
            <w:tcW w:w="2425" w:type="dxa"/>
            <w:shd w:val="clear" w:color="auto" w:fill="BFBFBF" w:themeFill="background1" w:themeFillShade="BF"/>
          </w:tcPr>
          <w:p w14:paraId="7B0EF6DB" w14:textId="77777777" w:rsidR="006B3405" w:rsidRDefault="006B3405">
            <w:r>
              <w:t>SCOPE OF AUTHORITY</w:t>
            </w:r>
          </w:p>
        </w:tc>
        <w:tc>
          <w:tcPr>
            <w:tcW w:w="6925" w:type="dxa"/>
          </w:tcPr>
          <w:p w14:paraId="082131F0" w14:textId="77777777" w:rsidR="006B3405" w:rsidRDefault="0000024C">
            <w:r w:rsidRPr="0000024C">
              <w:t>EODAC is tasked with developing and implementing policies and strategies that reinforce a culture of diversity, equity, inclusion, accessibility, and anti-racism across all facets of the college's operations.</w:t>
            </w:r>
          </w:p>
        </w:tc>
      </w:tr>
      <w:tr w:rsidR="006B3405" w14:paraId="7FC1E756" w14:textId="77777777" w:rsidTr="006B3405">
        <w:tc>
          <w:tcPr>
            <w:tcW w:w="2425" w:type="dxa"/>
            <w:shd w:val="clear" w:color="auto" w:fill="BFBFBF" w:themeFill="background1" w:themeFillShade="BF"/>
          </w:tcPr>
          <w:p w14:paraId="279D02CF" w14:textId="77777777" w:rsidR="006B3405" w:rsidRDefault="006B3405">
            <w:r>
              <w:t>REPORTS OUT TO</w:t>
            </w:r>
          </w:p>
        </w:tc>
        <w:tc>
          <w:tcPr>
            <w:tcW w:w="6925" w:type="dxa"/>
          </w:tcPr>
          <w:p w14:paraId="4D819870" w14:textId="518F4DF7" w:rsidR="006B3405" w:rsidRDefault="0000024C" w:rsidP="009A5258">
            <w:pPr>
              <w:pStyle w:val="ListParagraph"/>
              <w:numPr>
                <w:ilvl w:val="0"/>
                <w:numId w:val="9"/>
              </w:numPr>
            </w:pPr>
            <w:r w:rsidRPr="0000024C">
              <w:t>Bakersfield College President, College Council, Academic Senate, Student Government Association (BCSGA), California Schools Employee Association (CSEA), Administration Council, Education Administrator Committee, and Human Resources.</w:t>
            </w:r>
          </w:p>
        </w:tc>
      </w:tr>
      <w:tr w:rsidR="006B3405" w14:paraId="6CF16AC7" w14:textId="77777777" w:rsidTr="006B3405">
        <w:tc>
          <w:tcPr>
            <w:tcW w:w="2425" w:type="dxa"/>
            <w:shd w:val="clear" w:color="auto" w:fill="BFBFBF" w:themeFill="background1" w:themeFillShade="BF"/>
          </w:tcPr>
          <w:p w14:paraId="4CD4C89A" w14:textId="77777777" w:rsidR="006B3405" w:rsidRDefault="006B3405">
            <w:r>
              <w:t>COMMUNICATES WITH</w:t>
            </w:r>
          </w:p>
        </w:tc>
        <w:tc>
          <w:tcPr>
            <w:tcW w:w="6925" w:type="dxa"/>
          </w:tcPr>
          <w:p w14:paraId="1A208740" w14:textId="77777777" w:rsidR="006B3405" w:rsidRDefault="0000024C" w:rsidP="009A5258">
            <w:pPr>
              <w:pStyle w:val="ListParagraph"/>
              <w:numPr>
                <w:ilvl w:val="0"/>
                <w:numId w:val="9"/>
              </w:numPr>
            </w:pPr>
            <w:r w:rsidRPr="0000024C">
              <w:t>EODAC maintains an open dialogue with BC employees and student constituents to address, clarify, and educate on diversity, equity, inclusion, accessibility, and anti-racism. EODAC Committee Chairs also represent Bakersfield College at the KCCD Equal Employment Opportunity Advisory Committee, promoting district-wide collaboration on diversity and inclusion initiatives.</w:t>
            </w:r>
          </w:p>
        </w:tc>
      </w:tr>
      <w:tr w:rsidR="006B3405" w14:paraId="6C0E9CA2" w14:textId="77777777" w:rsidTr="006B3405">
        <w:tc>
          <w:tcPr>
            <w:tcW w:w="2425" w:type="dxa"/>
            <w:shd w:val="clear" w:color="auto" w:fill="BFBFBF" w:themeFill="background1" w:themeFillShade="BF"/>
          </w:tcPr>
          <w:p w14:paraId="049A4DE8" w14:textId="77777777" w:rsidR="006B3405" w:rsidRDefault="006B3405">
            <w:r>
              <w:t>MEMBERSHIP</w:t>
            </w:r>
          </w:p>
        </w:tc>
        <w:tc>
          <w:tcPr>
            <w:tcW w:w="6925" w:type="dxa"/>
          </w:tcPr>
          <w:p w14:paraId="2EAB6944" w14:textId="77777777" w:rsidR="0000024C" w:rsidRDefault="0000024C" w:rsidP="009A5258">
            <w:r>
              <w:t xml:space="preserve">Chair Positions: </w:t>
            </w:r>
          </w:p>
          <w:p w14:paraId="00F22116" w14:textId="77777777" w:rsidR="0000024C" w:rsidRDefault="0000024C" w:rsidP="009A5258">
            <w:pPr>
              <w:pStyle w:val="ListParagraph"/>
              <w:numPr>
                <w:ilvl w:val="0"/>
                <w:numId w:val="9"/>
              </w:numPr>
            </w:pPr>
            <w:r>
              <w:t>Administrative Chair</w:t>
            </w:r>
          </w:p>
          <w:p w14:paraId="63EBF220" w14:textId="77777777" w:rsidR="0000024C" w:rsidRDefault="0000024C" w:rsidP="009A5258">
            <w:pPr>
              <w:pStyle w:val="ListParagraph"/>
              <w:numPr>
                <w:ilvl w:val="0"/>
                <w:numId w:val="9"/>
              </w:numPr>
            </w:pPr>
            <w:r>
              <w:t>Faculty Chair</w:t>
            </w:r>
          </w:p>
          <w:p w14:paraId="6DB4AB1C" w14:textId="77777777" w:rsidR="0000024C" w:rsidRDefault="0000024C" w:rsidP="009A5258">
            <w:pPr>
              <w:pStyle w:val="ListParagraph"/>
              <w:numPr>
                <w:ilvl w:val="0"/>
                <w:numId w:val="9"/>
              </w:numPr>
            </w:pPr>
            <w:r>
              <w:t>Classified Chair</w:t>
            </w:r>
          </w:p>
          <w:p w14:paraId="471555A5" w14:textId="77777777" w:rsidR="0000024C" w:rsidRDefault="0000024C" w:rsidP="009A5258">
            <w:pPr>
              <w:pStyle w:val="ListParagraph"/>
              <w:numPr>
                <w:ilvl w:val="0"/>
                <w:numId w:val="9"/>
              </w:numPr>
            </w:pPr>
            <w:r>
              <w:t>BCSGA Chair</w:t>
            </w:r>
          </w:p>
          <w:p w14:paraId="18837A2E" w14:textId="77777777" w:rsidR="0000024C" w:rsidRDefault="0000024C" w:rsidP="009A5258">
            <w:r>
              <w:t>Membership: Ensures a broad representation from the college community, comprising:</w:t>
            </w:r>
          </w:p>
          <w:p w14:paraId="76439CC7" w14:textId="77777777" w:rsidR="0032221F" w:rsidRDefault="0000024C" w:rsidP="0032221F">
            <w:pPr>
              <w:pStyle w:val="ListParagraph"/>
              <w:numPr>
                <w:ilvl w:val="0"/>
                <w:numId w:val="9"/>
              </w:numPr>
            </w:pPr>
            <w:r>
              <w:t>9 Classified Representatives (CSEA)</w:t>
            </w:r>
          </w:p>
          <w:p w14:paraId="2F48AE09" w14:textId="0D399CDE" w:rsidR="0000024C" w:rsidRPr="0032221F" w:rsidRDefault="0000024C" w:rsidP="0032221F">
            <w:pPr>
              <w:pStyle w:val="ListParagraph"/>
              <w:numPr>
                <w:ilvl w:val="0"/>
                <w:numId w:val="9"/>
              </w:numPr>
            </w:pPr>
            <w:r>
              <w:t>9 Faculty Representatives (Academic Senate)</w:t>
            </w:r>
            <w:r w:rsidR="00486022">
              <w:t xml:space="preserve"> </w:t>
            </w:r>
            <w:r w:rsidR="00E40B6D" w:rsidRPr="0032221F">
              <w:rPr>
                <w:color w:val="000000" w:themeColor="text1"/>
              </w:rPr>
              <w:t xml:space="preserve">preferably </w:t>
            </w:r>
            <w:r w:rsidR="00486022" w:rsidRPr="0032221F">
              <w:rPr>
                <w:color w:val="000000" w:themeColor="text1"/>
              </w:rPr>
              <w:t>from at least 5 different pathways</w:t>
            </w:r>
          </w:p>
          <w:p w14:paraId="1249521C" w14:textId="6E8BDE9E" w:rsidR="0000024C" w:rsidRDefault="0000024C" w:rsidP="009A5258">
            <w:pPr>
              <w:pStyle w:val="ListParagraph"/>
              <w:numPr>
                <w:ilvl w:val="0"/>
                <w:numId w:val="9"/>
              </w:numPr>
            </w:pPr>
            <w:r>
              <w:t>3 Adjunct Faculty Representatives</w:t>
            </w:r>
            <w:r w:rsidR="00FB02EB">
              <w:t xml:space="preserve"> </w:t>
            </w:r>
            <w:r w:rsidR="00FB02EB" w:rsidRPr="00092216">
              <w:rPr>
                <w:color w:val="FF0000"/>
              </w:rPr>
              <w:t>preferably from different pathways</w:t>
            </w:r>
          </w:p>
          <w:p w14:paraId="21DFB08D" w14:textId="77777777" w:rsidR="0000024C" w:rsidRDefault="0000024C" w:rsidP="009A5258">
            <w:pPr>
              <w:pStyle w:val="ListParagraph"/>
              <w:numPr>
                <w:ilvl w:val="0"/>
                <w:numId w:val="9"/>
              </w:numPr>
            </w:pPr>
            <w:r>
              <w:t>4 Administrator Representatives</w:t>
            </w:r>
          </w:p>
          <w:p w14:paraId="1D84C36D" w14:textId="77777777" w:rsidR="0000024C" w:rsidRDefault="0000024C" w:rsidP="009A5258">
            <w:pPr>
              <w:pStyle w:val="ListParagraph"/>
              <w:numPr>
                <w:ilvl w:val="0"/>
                <w:numId w:val="9"/>
              </w:numPr>
            </w:pPr>
            <w:r>
              <w:t>2 Student Government Association (SGA) Representatives</w:t>
            </w:r>
          </w:p>
          <w:p w14:paraId="0949FAE7" w14:textId="77777777" w:rsidR="006B3405" w:rsidRDefault="0000024C" w:rsidP="009A5258">
            <w:pPr>
              <w:pStyle w:val="ListParagraph"/>
              <w:numPr>
                <w:ilvl w:val="0"/>
                <w:numId w:val="9"/>
              </w:numPr>
            </w:pPr>
            <w:r>
              <w:t>2 At-large Student Representatives</w:t>
            </w:r>
          </w:p>
          <w:p w14:paraId="762B1C46" w14:textId="77777777" w:rsidR="009A5258" w:rsidRPr="009E0C1A" w:rsidRDefault="009A5258" w:rsidP="009A5258">
            <w:pPr>
              <w:rPr>
                <w:sz w:val="18"/>
                <w:szCs w:val="18"/>
              </w:rPr>
            </w:pPr>
            <w:r w:rsidRPr="009E0C1A">
              <w:rPr>
                <w:sz w:val="18"/>
                <w:szCs w:val="18"/>
              </w:rPr>
              <w:t xml:space="preserve">*Note: </w:t>
            </w:r>
            <w:r w:rsidR="009E0C1A" w:rsidRPr="009E0C1A">
              <w:rPr>
                <w:sz w:val="18"/>
                <w:szCs w:val="18"/>
              </w:rPr>
              <w:t>Quorum calculations exclude vacant seats, counting only current members. This ensures the committee operates effectively, regardless of unfilled positions.</w:t>
            </w:r>
          </w:p>
          <w:p w14:paraId="6EE897A6" w14:textId="77777777" w:rsidR="0000024C" w:rsidRDefault="0000024C" w:rsidP="009A5258">
            <w:pPr>
              <w:pStyle w:val="ListParagraph"/>
            </w:pPr>
          </w:p>
        </w:tc>
      </w:tr>
      <w:tr w:rsidR="006B3405" w14:paraId="007051C0" w14:textId="77777777" w:rsidTr="006B3405">
        <w:tc>
          <w:tcPr>
            <w:tcW w:w="2425" w:type="dxa"/>
            <w:shd w:val="clear" w:color="auto" w:fill="BFBFBF" w:themeFill="background1" w:themeFillShade="BF"/>
          </w:tcPr>
          <w:p w14:paraId="079BF142" w14:textId="77777777" w:rsidR="006B3405" w:rsidRDefault="0000024C">
            <w:r w:rsidRPr="0000024C">
              <w:t>A</w:t>
            </w:r>
            <w:r>
              <w:t xml:space="preserve">LIGNMENT W/ </w:t>
            </w:r>
            <w:r w:rsidRPr="0000024C">
              <w:t>ACCJC S</w:t>
            </w:r>
            <w:r>
              <w:t>TANDARDS</w:t>
            </w:r>
          </w:p>
        </w:tc>
        <w:tc>
          <w:tcPr>
            <w:tcW w:w="6925" w:type="dxa"/>
          </w:tcPr>
          <w:p w14:paraId="57171C59" w14:textId="77777777" w:rsidR="00C11190" w:rsidRDefault="0000024C" w:rsidP="009A5258">
            <w:pPr>
              <w:pStyle w:val="ListParagraph"/>
              <w:numPr>
                <w:ilvl w:val="0"/>
                <w:numId w:val="9"/>
              </w:numPr>
            </w:pPr>
            <w:r w:rsidRPr="009A5258">
              <w:rPr>
                <w:b/>
              </w:rPr>
              <w:t>Standard 1</w:t>
            </w:r>
            <w:r>
              <w:t>: Institutional Mission and Effectiveness.</w:t>
            </w:r>
          </w:p>
          <w:p w14:paraId="3892AB5D" w14:textId="2A57235E" w:rsidR="0000024C" w:rsidRPr="00C11190" w:rsidRDefault="002D080B" w:rsidP="00C11190">
            <w:pPr>
              <w:pStyle w:val="ListParagraph"/>
              <w:rPr>
                <w:color w:val="000000" w:themeColor="text1"/>
              </w:rPr>
            </w:pPr>
            <w:r w:rsidRPr="00C11190">
              <w:rPr>
                <w:color w:val="000000" w:themeColor="text1"/>
              </w:rPr>
              <w:t>1</w:t>
            </w:r>
            <w:r w:rsidR="004F527F" w:rsidRPr="00C11190">
              <w:rPr>
                <w:color w:val="000000" w:themeColor="text1"/>
              </w:rPr>
              <w:t>.1, 1.2</w:t>
            </w:r>
            <w:r w:rsidR="007D5865" w:rsidRPr="00C11190">
              <w:rPr>
                <w:color w:val="000000" w:themeColor="text1"/>
              </w:rPr>
              <w:t>, 1.3</w:t>
            </w:r>
          </w:p>
          <w:p w14:paraId="67F315A7" w14:textId="77777777" w:rsidR="00C11190" w:rsidRDefault="0000024C" w:rsidP="009A5258">
            <w:pPr>
              <w:pStyle w:val="ListParagraph"/>
              <w:numPr>
                <w:ilvl w:val="0"/>
                <w:numId w:val="9"/>
              </w:numPr>
            </w:pPr>
            <w:r w:rsidRPr="009A5258">
              <w:rPr>
                <w:b/>
              </w:rPr>
              <w:t>Standard 2</w:t>
            </w:r>
            <w:r>
              <w:t xml:space="preserve">: Student Success. </w:t>
            </w:r>
          </w:p>
          <w:p w14:paraId="6DC4CFE5" w14:textId="201F32F8" w:rsidR="0000024C" w:rsidRPr="00C11190" w:rsidRDefault="005B402B" w:rsidP="00C11190">
            <w:pPr>
              <w:pStyle w:val="ListParagraph"/>
              <w:rPr>
                <w:color w:val="000000" w:themeColor="text1"/>
              </w:rPr>
            </w:pPr>
            <w:r w:rsidRPr="00C11190">
              <w:rPr>
                <w:color w:val="000000" w:themeColor="text1"/>
              </w:rPr>
              <w:t>2.2, 2.6</w:t>
            </w:r>
            <w:r w:rsidR="005A6153" w:rsidRPr="00C11190">
              <w:rPr>
                <w:color w:val="000000" w:themeColor="text1"/>
              </w:rPr>
              <w:t>, 2.7, 2.8</w:t>
            </w:r>
            <w:r w:rsidR="0023681F" w:rsidRPr="00C11190">
              <w:rPr>
                <w:color w:val="000000" w:themeColor="text1"/>
              </w:rPr>
              <w:t>, 2.9</w:t>
            </w:r>
          </w:p>
          <w:p w14:paraId="6FE883BB" w14:textId="2ED2E258" w:rsidR="00504BF6" w:rsidRPr="00C11190" w:rsidRDefault="00504BF6" w:rsidP="009A5258">
            <w:pPr>
              <w:pStyle w:val="ListParagraph"/>
              <w:numPr>
                <w:ilvl w:val="0"/>
                <w:numId w:val="9"/>
              </w:numPr>
              <w:rPr>
                <w:color w:val="000000" w:themeColor="text1"/>
              </w:rPr>
            </w:pPr>
            <w:r w:rsidRPr="00C11190">
              <w:rPr>
                <w:b/>
                <w:color w:val="000000" w:themeColor="text1"/>
              </w:rPr>
              <w:t>Standard 3: Infrastructure and Resources</w:t>
            </w:r>
          </w:p>
          <w:p w14:paraId="5058F9B4" w14:textId="324D80FC" w:rsidR="006B3405" w:rsidRPr="00C11190" w:rsidRDefault="00504BF6" w:rsidP="00C11190">
            <w:pPr>
              <w:pStyle w:val="ListParagraph"/>
              <w:rPr>
                <w:bCs/>
                <w:color w:val="FF0000"/>
              </w:rPr>
            </w:pPr>
            <w:r w:rsidRPr="00C11190">
              <w:rPr>
                <w:bCs/>
                <w:color w:val="000000" w:themeColor="text1"/>
              </w:rPr>
              <w:t>3.1, 3.2, 3.4</w:t>
            </w:r>
          </w:p>
        </w:tc>
      </w:tr>
      <w:tr w:rsidR="006B3405" w14:paraId="0049920C" w14:textId="77777777" w:rsidTr="006B3405">
        <w:tc>
          <w:tcPr>
            <w:tcW w:w="2425" w:type="dxa"/>
            <w:shd w:val="clear" w:color="auto" w:fill="BFBFBF" w:themeFill="background1" w:themeFillShade="BF"/>
          </w:tcPr>
          <w:p w14:paraId="6FFCE0AE" w14:textId="77777777" w:rsidR="006B3405" w:rsidRDefault="006B3405">
            <w:r>
              <w:t>DATE APPROVED</w:t>
            </w:r>
          </w:p>
        </w:tc>
        <w:tc>
          <w:tcPr>
            <w:tcW w:w="6925" w:type="dxa"/>
          </w:tcPr>
          <w:p w14:paraId="45564274" w14:textId="77777777" w:rsidR="006B3405" w:rsidRDefault="00DF72D0">
            <w:r>
              <w:t xml:space="preserve">Committee: </w:t>
            </w:r>
            <w:r w:rsidR="009E0C1A">
              <w:t>February</w:t>
            </w:r>
            <w:r w:rsidR="00504BF6">
              <w:t xml:space="preserve"> </w:t>
            </w:r>
            <w:r w:rsidR="00504BF6" w:rsidRPr="00C11190">
              <w:rPr>
                <w:color w:val="000000" w:themeColor="text1"/>
              </w:rPr>
              <w:t>23</w:t>
            </w:r>
            <w:r w:rsidR="009E0C1A">
              <w:t>, 2024</w:t>
            </w:r>
          </w:p>
          <w:p w14:paraId="53445A50" w14:textId="0D338557" w:rsidR="00DF72D0" w:rsidRDefault="00DF72D0">
            <w:r>
              <w:t xml:space="preserve">Academic Senate: </w:t>
            </w:r>
            <w:r w:rsidR="004601CE">
              <w:t>April 3, 2024</w:t>
            </w:r>
          </w:p>
        </w:tc>
      </w:tr>
    </w:tbl>
    <w:p w14:paraId="217487D0" w14:textId="77777777" w:rsidR="00136753" w:rsidRDefault="00136753"/>
    <w:sectPr w:rsidR="0013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CD0"/>
    <w:multiLevelType w:val="hybridMultilevel"/>
    <w:tmpl w:val="8A3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62036"/>
    <w:multiLevelType w:val="hybridMultilevel"/>
    <w:tmpl w:val="CAA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3115D"/>
    <w:multiLevelType w:val="hybridMultilevel"/>
    <w:tmpl w:val="57B09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C0937"/>
    <w:multiLevelType w:val="hybridMultilevel"/>
    <w:tmpl w:val="AD3C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F5D28"/>
    <w:multiLevelType w:val="hybridMultilevel"/>
    <w:tmpl w:val="0D606A70"/>
    <w:lvl w:ilvl="0" w:tplc="330258B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3241BFC"/>
    <w:multiLevelType w:val="hybridMultilevel"/>
    <w:tmpl w:val="F9CA5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77F92"/>
    <w:multiLevelType w:val="hybridMultilevel"/>
    <w:tmpl w:val="963E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27633"/>
    <w:multiLevelType w:val="hybridMultilevel"/>
    <w:tmpl w:val="296C9042"/>
    <w:lvl w:ilvl="0" w:tplc="04090001">
      <w:start w:val="1"/>
      <w:numFmt w:val="bullet"/>
      <w:lvlText w:val=""/>
      <w:lvlJc w:val="left"/>
      <w:pPr>
        <w:ind w:left="720" w:hanging="360"/>
      </w:pPr>
      <w:rPr>
        <w:rFonts w:ascii="Symbol" w:hAnsi="Symbol" w:hint="default"/>
      </w:rPr>
    </w:lvl>
    <w:lvl w:ilvl="1" w:tplc="330258B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37912"/>
    <w:multiLevelType w:val="hybridMultilevel"/>
    <w:tmpl w:val="FC0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932621">
    <w:abstractNumId w:val="7"/>
  </w:num>
  <w:num w:numId="2" w16cid:durableId="1733311554">
    <w:abstractNumId w:val="2"/>
  </w:num>
  <w:num w:numId="3" w16cid:durableId="775946490">
    <w:abstractNumId w:val="4"/>
  </w:num>
  <w:num w:numId="4" w16cid:durableId="1226916194">
    <w:abstractNumId w:val="0"/>
  </w:num>
  <w:num w:numId="5" w16cid:durableId="872233907">
    <w:abstractNumId w:val="6"/>
  </w:num>
  <w:num w:numId="6" w16cid:durableId="1899511951">
    <w:abstractNumId w:val="8"/>
  </w:num>
  <w:num w:numId="7" w16cid:durableId="7754733">
    <w:abstractNumId w:val="5"/>
  </w:num>
  <w:num w:numId="8" w16cid:durableId="121004554">
    <w:abstractNumId w:val="1"/>
  </w:num>
  <w:num w:numId="9" w16cid:durableId="1898466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05"/>
    <w:rsid w:val="0000024C"/>
    <w:rsid w:val="00012507"/>
    <w:rsid w:val="000437AC"/>
    <w:rsid w:val="00092216"/>
    <w:rsid w:val="000E13B0"/>
    <w:rsid w:val="0011693C"/>
    <w:rsid w:val="00136753"/>
    <w:rsid w:val="0023681F"/>
    <w:rsid w:val="002D080B"/>
    <w:rsid w:val="0032221F"/>
    <w:rsid w:val="003C56A9"/>
    <w:rsid w:val="003E16AB"/>
    <w:rsid w:val="00411450"/>
    <w:rsid w:val="004159C9"/>
    <w:rsid w:val="004601CE"/>
    <w:rsid w:val="00486022"/>
    <w:rsid w:val="004F527F"/>
    <w:rsid w:val="00504BF6"/>
    <w:rsid w:val="00533B35"/>
    <w:rsid w:val="005A6153"/>
    <w:rsid w:val="005B402B"/>
    <w:rsid w:val="005F3C2C"/>
    <w:rsid w:val="006369DD"/>
    <w:rsid w:val="006B3405"/>
    <w:rsid w:val="007063DE"/>
    <w:rsid w:val="007D5865"/>
    <w:rsid w:val="00993CF5"/>
    <w:rsid w:val="009A5258"/>
    <w:rsid w:val="009E0C1A"/>
    <w:rsid w:val="00BB6464"/>
    <w:rsid w:val="00C11190"/>
    <w:rsid w:val="00DF72D0"/>
    <w:rsid w:val="00E40B6D"/>
    <w:rsid w:val="00E955C0"/>
    <w:rsid w:val="00FB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8E79"/>
  <w15:chartTrackingRefBased/>
  <w15:docId w15:val="{1FA39C22-FCA6-4623-A9F7-A11C9A36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D1EDEA1B44B4F85DF4F597EC9A" ma:contentTypeVersion="" ma:contentTypeDescription="Create a new document." ma:contentTypeScope="" ma:versionID="943d66266a90c247ec7e09ee117efaac">
  <xsd:schema xmlns:xsd="http://www.w3.org/2001/XMLSchema" xmlns:xs="http://www.w3.org/2001/XMLSchema" xmlns:p="http://schemas.microsoft.com/office/2006/metadata/properties" xmlns:ns2="454fd486-4e42-4a7f-bc2f-e2145d19cd8b" xmlns:ns3="212a144b-0a3d-4ce9-9a18-2cd4ad3d75b8" targetNamespace="http://schemas.microsoft.com/office/2006/metadata/properties" ma:root="true" ma:fieldsID="bd89428ec23ac9953c9e08522dc2b570" ns2:_="" ns3:_="">
    <xsd:import namespace="454fd486-4e42-4a7f-bc2f-e2145d19cd8b"/>
    <xsd:import namespace="212a144b-0a3d-4ce9-9a18-2cd4ad3d7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a144b-0a3d-4ce9-9a18-2cd4ad3d7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C261A-B669-4B26-8659-09E62CB650C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A091DCF1-B471-43D4-871C-BF9E327FBA6B}">
  <ds:schemaRefs>
    <ds:schemaRef ds:uri="http://schemas.microsoft.com/sharepoint/v3/contenttype/forms"/>
  </ds:schemaRefs>
</ds:datastoreItem>
</file>

<file path=customXml/itemProps3.xml><?xml version="1.0" encoding="utf-8"?>
<ds:datastoreItem xmlns:ds="http://schemas.openxmlformats.org/officeDocument/2006/customXml" ds:itemID="{B26C862F-DE39-4090-AC3E-CA8FF1E80249}">
  <ds:schemaRefs>
    <ds:schemaRef ds:uri="http://schemas.microsoft.com/office/2006/metadata/contentType"/>
    <ds:schemaRef ds:uri="http://schemas.microsoft.com/office/2006/metadata/properties/metaAttributes"/>
    <ds:schemaRef ds:uri="http://www.w3.org/2000/xmlns/"/>
    <ds:schemaRef ds:uri="http://www.w3.org/2001/XMLSchema"/>
    <ds:schemaRef ds:uri="454fd486-4e42-4a7f-bc2f-e2145d19cd8b"/>
    <ds:schemaRef ds:uri="212a144b-0a3d-4ce9-9a18-2cd4ad3d75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McCrow</dc:creator>
  <cp:keywords/>
  <dc:description/>
  <cp:lastModifiedBy>E M</cp:lastModifiedBy>
  <cp:revision>2</cp:revision>
  <cp:lastPrinted>2024-02-23T03:46:00Z</cp:lastPrinted>
  <dcterms:created xsi:type="dcterms:W3CDTF">2024-05-03T14:54:00Z</dcterms:created>
  <dcterms:modified xsi:type="dcterms:W3CDTF">2024-05-03T14:54:00Z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0x010100F0F424D1EDEA1B44B4F85DF4F597EC9A</vt:lpwstr>
  </property>
</Properties>
</file>