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53" w:rsidRPr="002D4B9F" w:rsidRDefault="00FE0E53" w:rsidP="002D4B9F">
      <w:pPr>
        <w:spacing w:after="0"/>
        <w:jc w:val="center"/>
        <w:rPr>
          <w:b/>
          <w:sz w:val="32"/>
          <w:szCs w:val="32"/>
        </w:rPr>
      </w:pPr>
      <w:r w:rsidRPr="002D4B9F">
        <w:rPr>
          <w:b/>
          <w:sz w:val="32"/>
          <w:szCs w:val="32"/>
        </w:rPr>
        <w:t>Midterm Accreditation Report</w:t>
      </w:r>
      <w:r w:rsidR="002748AC">
        <w:rPr>
          <w:b/>
          <w:sz w:val="32"/>
          <w:szCs w:val="32"/>
        </w:rPr>
        <w:t>: College Council</w:t>
      </w:r>
    </w:p>
    <w:p w:rsidR="00FE0E53" w:rsidRPr="002D4B9F" w:rsidRDefault="00FE0E53" w:rsidP="002D4B9F">
      <w:pPr>
        <w:jc w:val="center"/>
        <w:rPr>
          <w:b/>
          <w:sz w:val="32"/>
          <w:szCs w:val="32"/>
        </w:rPr>
      </w:pPr>
      <w:r w:rsidRPr="002D4B9F">
        <w:rPr>
          <w:b/>
          <w:sz w:val="32"/>
          <w:szCs w:val="32"/>
        </w:rPr>
        <w:t xml:space="preserve">Review of Standard </w:t>
      </w:r>
      <w:r w:rsidR="000466BB">
        <w:rPr>
          <w:b/>
          <w:sz w:val="32"/>
          <w:szCs w:val="32"/>
        </w:rPr>
        <w:t>IV.A</w:t>
      </w:r>
    </w:p>
    <w:p w:rsidR="00FE0E53" w:rsidRPr="00BF4BF8" w:rsidRDefault="00BF4BF8" w:rsidP="00FE0E53">
      <w:pPr>
        <w:autoSpaceDE w:val="0"/>
        <w:autoSpaceDN w:val="0"/>
        <w:adjustRightInd w:val="0"/>
        <w:spacing w:after="0" w:line="240" w:lineRule="auto"/>
        <w:rPr>
          <w:rFonts w:ascii="Calibri" w:hAnsi="Calibri" w:cs="Calibri"/>
          <w:b/>
          <w:bCs/>
          <w:color w:val="FF0000"/>
          <w:sz w:val="28"/>
          <w:szCs w:val="28"/>
          <w:u w:val="single"/>
        </w:rPr>
      </w:pPr>
      <w:r w:rsidRPr="00BF4BF8">
        <w:rPr>
          <w:rFonts w:ascii="Calibri" w:hAnsi="Calibri" w:cs="Calibri"/>
          <w:b/>
          <w:bCs/>
          <w:color w:val="FF0000"/>
          <w:sz w:val="28"/>
          <w:szCs w:val="28"/>
          <w:u w:val="single"/>
        </w:rPr>
        <w:t>Instructions for Completing Form:</w:t>
      </w:r>
    </w:p>
    <w:p w:rsidR="00BF4BF8" w:rsidRPr="00BF4BF8" w:rsidRDefault="00BF4BF8" w:rsidP="00BF4BF8">
      <w:pPr>
        <w:pStyle w:val="ListParagraph"/>
        <w:numPr>
          <w:ilvl w:val="0"/>
          <w:numId w:val="3"/>
        </w:numPr>
        <w:autoSpaceDE w:val="0"/>
        <w:autoSpaceDN w:val="0"/>
        <w:adjustRightInd w:val="0"/>
        <w:spacing w:after="0" w:line="240" w:lineRule="auto"/>
        <w:rPr>
          <w:rFonts w:ascii="Calibri" w:hAnsi="Calibri" w:cs="Calibri"/>
          <w:color w:val="FF0000"/>
          <w:sz w:val="24"/>
          <w:szCs w:val="24"/>
        </w:rPr>
      </w:pPr>
      <w:r w:rsidRPr="00BF4BF8">
        <w:rPr>
          <w:rFonts w:ascii="Calibri" w:hAnsi="Calibri" w:cs="Calibri"/>
          <w:color w:val="FF0000"/>
          <w:sz w:val="24"/>
          <w:szCs w:val="24"/>
        </w:rPr>
        <w:t>Carefully read the ACCJC statement for Standard I listed below</w:t>
      </w:r>
    </w:p>
    <w:p w:rsidR="00BF4BF8" w:rsidRDefault="00BF4BF8" w:rsidP="00BF4BF8">
      <w:pPr>
        <w:pStyle w:val="ListParagraph"/>
        <w:numPr>
          <w:ilvl w:val="0"/>
          <w:numId w:val="3"/>
        </w:numPr>
        <w:autoSpaceDE w:val="0"/>
        <w:autoSpaceDN w:val="0"/>
        <w:adjustRightInd w:val="0"/>
        <w:spacing w:after="0" w:line="240" w:lineRule="auto"/>
        <w:rPr>
          <w:rFonts w:ascii="Calibri" w:hAnsi="Calibri" w:cs="Calibri"/>
          <w:color w:val="FF0000"/>
          <w:sz w:val="24"/>
          <w:szCs w:val="24"/>
        </w:rPr>
      </w:pPr>
      <w:r w:rsidRPr="00BF4BF8">
        <w:rPr>
          <w:rFonts w:ascii="Calibri" w:hAnsi="Calibri" w:cs="Calibri"/>
          <w:color w:val="FF0000"/>
          <w:sz w:val="24"/>
          <w:szCs w:val="24"/>
        </w:rPr>
        <w:t xml:space="preserve">For each of the </w:t>
      </w:r>
      <w:r w:rsidR="001D71F6">
        <w:rPr>
          <w:rFonts w:ascii="Calibri" w:hAnsi="Calibri" w:cs="Calibri"/>
          <w:color w:val="FF0000"/>
          <w:sz w:val="24"/>
          <w:szCs w:val="24"/>
        </w:rPr>
        <w:t>seven (7</w:t>
      </w:r>
      <w:r w:rsidRPr="00BF4BF8">
        <w:rPr>
          <w:rFonts w:ascii="Calibri" w:hAnsi="Calibri" w:cs="Calibri"/>
          <w:color w:val="FF0000"/>
          <w:sz w:val="24"/>
          <w:szCs w:val="24"/>
        </w:rPr>
        <w:t xml:space="preserve">) criteria associated with Standard </w:t>
      </w:r>
      <w:r w:rsidR="001D71F6">
        <w:rPr>
          <w:rFonts w:ascii="Calibri" w:hAnsi="Calibri" w:cs="Calibri"/>
          <w:color w:val="FF0000"/>
          <w:sz w:val="24"/>
          <w:szCs w:val="24"/>
        </w:rPr>
        <w:t>IV.A</w:t>
      </w:r>
      <w:r w:rsidRPr="00BF4BF8">
        <w:rPr>
          <w:rFonts w:ascii="Calibri" w:hAnsi="Calibri" w:cs="Calibri"/>
          <w:color w:val="FF0000"/>
          <w:sz w:val="24"/>
          <w:szCs w:val="24"/>
        </w:rPr>
        <w:t xml:space="preserve">, list responses </w:t>
      </w:r>
      <w:r>
        <w:rPr>
          <w:rFonts w:ascii="Calibri" w:hAnsi="Calibri" w:cs="Calibri"/>
          <w:color w:val="FF0000"/>
          <w:sz w:val="24"/>
          <w:szCs w:val="24"/>
        </w:rPr>
        <w:t>(b</w:t>
      </w:r>
      <w:r w:rsidRPr="00BF4BF8">
        <w:rPr>
          <w:rFonts w:ascii="Calibri" w:hAnsi="Calibri" w:cs="Calibri"/>
          <w:color w:val="FF0000"/>
          <w:sz w:val="24"/>
          <w:szCs w:val="24"/>
        </w:rPr>
        <w:t>ullet</w:t>
      </w:r>
      <w:r>
        <w:rPr>
          <w:rFonts w:ascii="Calibri" w:hAnsi="Calibri" w:cs="Calibri"/>
          <w:color w:val="FF0000"/>
          <w:sz w:val="24"/>
          <w:szCs w:val="24"/>
        </w:rPr>
        <w:t xml:space="preserve"> format)</w:t>
      </w:r>
      <w:r w:rsidRPr="00BF4BF8">
        <w:rPr>
          <w:rFonts w:ascii="Calibri" w:hAnsi="Calibri" w:cs="Calibri"/>
          <w:color w:val="FF0000"/>
          <w:sz w:val="24"/>
          <w:szCs w:val="24"/>
        </w:rPr>
        <w:t xml:space="preserve"> for each appropriate column (BC Strengths; Evidence to Support Strengths; Areas for Improvement)</w:t>
      </w:r>
      <w:r>
        <w:rPr>
          <w:rFonts w:ascii="Calibri" w:hAnsi="Calibri" w:cs="Calibri"/>
          <w:color w:val="FF0000"/>
          <w:sz w:val="24"/>
          <w:szCs w:val="24"/>
        </w:rPr>
        <w:t>.</w:t>
      </w:r>
    </w:p>
    <w:p w:rsidR="00BF4BF8" w:rsidRPr="00BF4BF8" w:rsidRDefault="00BF4BF8" w:rsidP="00BF4BF8">
      <w:pPr>
        <w:pStyle w:val="ListParagraph"/>
        <w:numPr>
          <w:ilvl w:val="0"/>
          <w:numId w:val="3"/>
        </w:numPr>
        <w:autoSpaceDE w:val="0"/>
        <w:autoSpaceDN w:val="0"/>
        <w:adjustRightInd w:val="0"/>
        <w:spacing w:after="0" w:line="240" w:lineRule="auto"/>
        <w:rPr>
          <w:rFonts w:ascii="Calibri" w:hAnsi="Calibri" w:cs="Calibri"/>
          <w:color w:val="FF0000"/>
          <w:sz w:val="24"/>
          <w:szCs w:val="24"/>
        </w:rPr>
      </w:pPr>
      <w:r>
        <w:rPr>
          <w:rFonts w:ascii="Calibri" w:hAnsi="Calibri" w:cs="Calibri"/>
          <w:color w:val="FF0000"/>
          <w:sz w:val="24"/>
          <w:szCs w:val="24"/>
        </w:rPr>
        <w:t>Submit your completed form to</w:t>
      </w:r>
      <w:r w:rsidR="002748AC">
        <w:rPr>
          <w:rFonts w:ascii="Calibri" w:hAnsi="Calibri" w:cs="Calibri"/>
          <w:color w:val="FF0000"/>
          <w:sz w:val="24"/>
          <w:szCs w:val="24"/>
        </w:rPr>
        <w:t xml:space="preserve"> Ann Tatum</w:t>
      </w:r>
      <w:r>
        <w:rPr>
          <w:rFonts w:ascii="Calibri" w:hAnsi="Calibri" w:cs="Calibri"/>
          <w:color w:val="FF0000"/>
          <w:sz w:val="24"/>
          <w:szCs w:val="24"/>
        </w:rPr>
        <w:t xml:space="preserve"> </w:t>
      </w:r>
      <w:r w:rsidRPr="00DE0E3C">
        <w:rPr>
          <w:rFonts w:ascii="Calibri" w:hAnsi="Calibri" w:cs="Calibri"/>
          <w:color w:val="FF0000"/>
          <w:sz w:val="24"/>
          <w:szCs w:val="24"/>
        </w:rPr>
        <w:t>(</w:t>
      </w:r>
      <w:hyperlink r:id="rId6" w:history="1">
        <w:r w:rsidR="002748AC" w:rsidRPr="00DE0E3C">
          <w:rPr>
            <w:rStyle w:val="Hyperlink"/>
          </w:rPr>
          <w:t>atatum@bakersfieldcollege.edu</w:t>
        </w:r>
      </w:hyperlink>
      <w:r w:rsidR="002748AC" w:rsidRPr="00DE0E3C">
        <w:t xml:space="preserve"> </w:t>
      </w:r>
      <w:r w:rsidR="00DE0E3C" w:rsidRPr="00DE0E3C">
        <w:rPr>
          <w:rFonts w:ascii="Calibri" w:hAnsi="Calibri" w:cs="Calibri"/>
          <w:color w:val="FF0000"/>
          <w:sz w:val="24"/>
          <w:szCs w:val="24"/>
        </w:rPr>
        <w:t>) by Friday, October 10,</w:t>
      </w:r>
      <w:r w:rsidR="002748AC" w:rsidRPr="00DE0E3C">
        <w:rPr>
          <w:rFonts w:ascii="Calibri" w:hAnsi="Calibri" w:cs="Calibri"/>
          <w:color w:val="FF0000"/>
          <w:sz w:val="24"/>
          <w:szCs w:val="24"/>
        </w:rPr>
        <w:t xml:space="preserve"> </w:t>
      </w:r>
      <w:r w:rsidRPr="00DE0E3C">
        <w:rPr>
          <w:rFonts w:ascii="Calibri" w:hAnsi="Calibri" w:cs="Calibri"/>
          <w:color w:val="FF0000"/>
          <w:sz w:val="24"/>
          <w:szCs w:val="24"/>
        </w:rPr>
        <w:t>2014.</w:t>
      </w:r>
    </w:p>
    <w:p w:rsidR="00BF4BF8" w:rsidRPr="00FE0E53" w:rsidRDefault="00BF4BF8" w:rsidP="00FE0E53">
      <w:pPr>
        <w:autoSpaceDE w:val="0"/>
        <w:autoSpaceDN w:val="0"/>
        <w:adjustRightInd w:val="0"/>
        <w:spacing w:after="0" w:line="240" w:lineRule="auto"/>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4072"/>
      </w:tblGrid>
      <w:tr w:rsidR="000466BB" w:rsidRPr="00FE0E53" w:rsidTr="002D4B9F">
        <w:trPr>
          <w:trHeight w:val="495"/>
        </w:trPr>
        <w:tc>
          <w:tcPr>
            <w:tcW w:w="14072" w:type="dxa"/>
          </w:tcPr>
          <w:p w:rsidR="000466BB" w:rsidRPr="001D71F6" w:rsidRDefault="000466BB" w:rsidP="000466BB">
            <w:pPr>
              <w:spacing w:before="20" w:afterLines="20" w:after="48" w:line="240" w:lineRule="auto"/>
              <w:rPr>
                <w:b/>
                <w:sz w:val="24"/>
                <w:szCs w:val="24"/>
              </w:rPr>
            </w:pPr>
            <w:r w:rsidRPr="001D71F6">
              <w:rPr>
                <w:b/>
                <w:sz w:val="24"/>
                <w:szCs w:val="24"/>
              </w:rPr>
              <w:t>Standard IV:  Leadership and Governance</w:t>
            </w:r>
          </w:p>
          <w:p w:rsidR="000466BB" w:rsidRPr="000466BB" w:rsidRDefault="000466BB" w:rsidP="000466BB">
            <w:pPr>
              <w:spacing w:before="20" w:afterLines="100" w:after="240" w:line="240" w:lineRule="auto"/>
              <w:rPr>
                <w:b/>
                <w:sz w:val="28"/>
                <w:szCs w:val="28"/>
              </w:rPr>
            </w:pPr>
            <w:r w:rsidRPr="001D71F6">
              <w:rPr>
                <w:sz w:val="24"/>
                <w:szCs w:val="24"/>
              </w:rPr>
              <w:t xml:space="preserve">The institution recognizes and uses the contributions of leadership throughout the organization for promoting student success, sustaining academic quality, integrity, fiscal stability, and continuous improvement of the institution. Governance roles are defined in policy and are designed to facilitate decisions that support student learning programs and services and improve institutional effectiveness, while acknowledging the designated responsibilities of the governing board and the chief executive officer. Through established governance structures, processes, and practices, the governing board, administrators, faculty, staff, and students </w:t>
            </w:r>
            <w:bookmarkStart w:id="0" w:name="_GoBack"/>
            <w:bookmarkEnd w:id="0"/>
            <w:r w:rsidRPr="001D71F6">
              <w:rPr>
                <w:sz w:val="24"/>
                <w:szCs w:val="24"/>
              </w:rPr>
              <w:t>work together for the good of the institution. In multi-college districts or systems, the roles within the district/system are clearly delineated. The multi-college district or system has policies for allocation of resources to adequately support and sustain the colleges.</w:t>
            </w:r>
            <w:r w:rsidRPr="000466BB">
              <w:rPr>
                <w:sz w:val="28"/>
                <w:szCs w:val="28"/>
              </w:rPr>
              <w:t xml:space="preserve">  </w:t>
            </w:r>
          </w:p>
        </w:tc>
      </w:tr>
    </w:tbl>
    <w:p w:rsidR="001D71F6" w:rsidRDefault="001D71F6" w:rsidP="00FE0E53">
      <w:pPr>
        <w:spacing w:after="0"/>
      </w:pPr>
    </w:p>
    <w:p w:rsidR="001D71F6" w:rsidRDefault="001D71F6" w:rsidP="00FE0E53">
      <w:pPr>
        <w:spacing w:after="0"/>
        <w:rPr>
          <w:b/>
          <w:sz w:val="26"/>
          <w:szCs w:val="26"/>
        </w:rPr>
      </w:pPr>
    </w:p>
    <w:p w:rsidR="002D4B9F" w:rsidRPr="001D71F6" w:rsidRDefault="000466BB" w:rsidP="00FE0E53">
      <w:pPr>
        <w:spacing w:after="0"/>
      </w:pPr>
      <w:proofErr w:type="gramStart"/>
      <w:r>
        <w:rPr>
          <w:b/>
          <w:sz w:val="26"/>
          <w:szCs w:val="26"/>
        </w:rPr>
        <w:t>Standard IV.A.</w:t>
      </w:r>
      <w:proofErr w:type="gramEnd"/>
      <w:r>
        <w:rPr>
          <w:b/>
          <w:sz w:val="26"/>
          <w:szCs w:val="26"/>
        </w:rPr>
        <w:t xml:space="preserve"> </w:t>
      </w:r>
      <w:r w:rsidRPr="000466BB">
        <w:rPr>
          <w:b/>
          <w:sz w:val="26"/>
          <w:szCs w:val="26"/>
        </w:rPr>
        <w:t>Decision-Making Roles and Processes</w:t>
      </w:r>
    </w:p>
    <w:tbl>
      <w:tblPr>
        <w:tblStyle w:val="TableGrid"/>
        <w:tblW w:w="14616" w:type="dxa"/>
        <w:tblLook w:val="04A0" w:firstRow="1" w:lastRow="0" w:firstColumn="1" w:lastColumn="0" w:noHBand="0" w:noVBand="1"/>
      </w:tblPr>
      <w:tblGrid>
        <w:gridCol w:w="3654"/>
        <w:gridCol w:w="3654"/>
        <w:gridCol w:w="3654"/>
        <w:gridCol w:w="3654"/>
      </w:tblGrid>
      <w:tr w:rsidR="00BF4BF8" w:rsidTr="00BF4BF8">
        <w:tc>
          <w:tcPr>
            <w:tcW w:w="3654" w:type="dxa"/>
            <w:shd w:val="clear" w:color="auto" w:fill="95B3D7" w:themeFill="accent1" w:themeFillTint="99"/>
          </w:tcPr>
          <w:p w:rsidR="00BF4BF8" w:rsidRPr="00FE0E53" w:rsidRDefault="00BF4BF8" w:rsidP="00FE0E53">
            <w:pPr>
              <w:jc w:val="center"/>
              <w:rPr>
                <w:b/>
                <w:i/>
                <w:sz w:val="24"/>
                <w:szCs w:val="24"/>
              </w:rPr>
            </w:pPr>
            <w:r w:rsidRPr="00FE0E53">
              <w:rPr>
                <w:b/>
                <w:i/>
                <w:sz w:val="24"/>
                <w:szCs w:val="24"/>
              </w:rPr>
              <w:t>ACCJC Criteria</w:t>
            </w:r>
          </w:p>
        </w:tc>
        <w:tc>
          <w:tcPr>
            <w:tcW w:w="3654" w:type="dxa"/>
            <w:shd w:val="clear" w:color="auto" w:fill="95B3D7" w:themeFill="accent1" w:themeFillTint="99"/>
          </w:tcPr>
          <w:p w:rsidR="00BF4BF8" w:rsidRPr="00FE0E53" w:rsidRDefault="00BF4BF8" w:rsidP="00DE4D63">
            <w:pPr>
              <w:jc w:val="center"/>
              <w:rPr>
                <w:b/>
                <w:i/>
                <w:sz w:val="24"/>
                <w:szCs w:val="24"/>
              </w:rPr>
            </w:pPr>
            <w:r w:rsidRPr="00FE0E53">
              <w:rPr>
                <w:b/>
                <w:i/>
                <w:sz w:val="24"/>
                <w:szCs w:val="24"/>
              </w:rPr>
              <w:t>Bakersfield College</w:t>
            </w:r>
            <w:r>
              <w:rPr>
                <w:b/>
                <w:i/>
                <w:sz w:val="24"/>
                <w:szCs w:val="24"/>
              </w:rPr>
              <w:t xml:space="preserve"> Strengths</w:t>
            </w:r>
          </w:p>
        </w:tc>
        <w:tc>
          <w:tcPr>
            <w:tcW w:w="3654" w:type="dxa"/>
            <w:shd w:val="clear" w:color="auto" w:fill="95B3D7" w:themeFill="accent1" w:themeFillTint="99"/>
          </w:tcPr>
          <w:p w:rsidR="00BF4BF8" w:rsidRPr="00FE0E53" w:rsidRDefault="00BF4BF8" w:rsidP="00C70303">
            <w:pPr>
              <w:jc w:val="center"/>
              <w:rPr>
                <w:b/>
                <w:i/>
                <w:sz w:val="24"/>
                <w:szCs w:val="24"/>
              </w:rPr>
            </w:pPr>
            <w:r>
              <w:rPr>
                <w:b/>
                <w:i/>
                <w:sz w:val="24"/>
                <w:szCs w:val="24"/>
              </w:rPr>
              <w:t>Evidence and Documentation</w:t>
            </w:r>
          </w:p>
        </w:tc>
        <w:tc>
          <w:tcPr>
            <w:tcW w:w="3654" w:type="dxa"/>
            <w:shd w:val="clear" w:color="auto" w:fill="95B3D7" w:themeFill="accent1" w:themeFillTint="99"/>
          </w:tcPr>
          <w:p w:rsidR="00BF4BF8" w:rsidRDefault="00BF4BF8" w:rsidP="00FE0E53">
            <w:pPr>
              <w:jc w:val="center"/>
            </w:pPr>
            <w:r>
              <w:rPr>
                <w:b/>
                <w:i/>
                <w:sz w:val="24"/>
                <w:szCs w:val="24"/>
              </w:rPr>
              <w:t>BC Areas for Improvement</w:t>
            </w:r>
          </w:p>
        </w:tc>
      </w:tr>
      <w:tr w:rsidR="00BF4BF8" w:rsidTr="00BF4BF8">
        <w:tc>
          <w:tcPr>
            <w:tcW w:w="3654" w:type="dxa"/>
          </w:tcPr>
          <w:p w:rsidR="00BF4BF8" w:rsidRDefault="000466BB" w:rsidP="001D71F6">
            <w:pPr>
              <w:spacing w:before="20" w:afterLines="20" w:after="48"/>
            </w:pPr>
            <w:r w:rsidRPr="000466BB">
              <w:rPr>
                <w:b/>
              </w:rPr>
              <w:t>IV.A.1</w:t>
            </w:r>
            <w:proofErr w:type="gramStart"/>
            <w:r w:rsidR="008B4CF6">
              <w:rPr>
                <w:b/>
              </w:rPr>
              <w:t>.</w:t>
            </w:r>
            <w:r>
              <w:t xml:space="preserve"> </w:t>
            </w:r>
            <w:r w:rsidR="00BF4BF8">
              <w:t xml:space="preserve"> </w:t>
            </w:r>
            <w:r w:rsidRPr="008206CF">
              <w:t>Institutional</w:t>
            </w:r>
            <w:proofErr w:type="gramEnd"/>
            <w:r w:rsidRPr="008206CF">
              <w:t xml:space="preserve"> leaders create and encourage innovation leading to institutional excellence. They support administrators, faculty, staff, and students, no matter what their official titles, in taking initiative for improving the practices, programs, and services in which they are involved. When ideas for improvement have policy or significant institution-wide implications, systematic participative processes are used to assure effective planning and implementation.</w:t>
            </w:r>
            <w:r w:rsidRPr="000466BB">
              <w:rPr>
                <w:b/>
              </w:rPr>
              <w:t xml:space="preserve"> </w:t>
            </w:r>
          </w:p>
        </w:tc>
        <w:tc>
          <w:tcPr>
            <w:tcW w:w="3654" w:type="dxa"/>
          </w:tcPr>
          <w:p w:rsidR="00BF4BF8" w:rsidRDefault="00BF4BF8" w:rsidP="002D4B9F">
            <w:pPr>
              <w:pStyle w:val="ListParagraph"/>
              <w:numPr>
                <w:ilvl w:val="0"/>
                <w:numId w:val="2"/>
              </w:numPr>
              <w:ind w:left="126" w:hanging="180"/>
            </w:pPr>
          </w:p>
        </w:tc>
        <w:tc>
          <w:tcPr>
            <w:tcW w:w="3654" w:type="dxa"/>
          </w:tcPr>
          <w:p w:rsidR="00BF4BF8" w:rsidRDefault="00BF4BF8" w:rsidP="00BE3F4D">
            <w:pPr>
              <w:pStyle w:val="ListParagraph"/>
              <w:numPr>
                <w:ilvl w:val="0"/>
                <w:numId w:val="2"/>
              </w:numPr>
              <w:ind w:left="126" w:hanging="180"/>
            </w:pPr>
          </w:p>
        </w:tc>
        <w:tc>
          <w:tcPr>
            <w:tcW w:w="3654" w:type="dxa"/>
          </w:tcPr>
          <w:p w:rsidR="00BF4BF8" w:rsidRDefault="00BF4BF8" w:rsidP="00BE3F4D">
            <w:pPr>
              <w:pStyle w:val="ListParagraph"/>
              <w:numPr>
                <w:ilvl w:val="0"/>
                <w:numId w:val="2"/>
              </w:numPr>
              <w:ind w:left="126" w:hanging="180"/>
            </w:pPr>
          </w:p>
        </w:tc>
      </w:tr>
      <w:tr w:rsidR="00BF4BF8" w:rsidTr="00BF4BF8">
        <w:tc>
          <w:tcPr>
            <w:tcW w:w="3654" w:type="dxa"/>
          </w:tcPr>
          <w:p w:rsidR="000466BB" w:rsidRPr="00EF7CC3" w:rsidRDefault="000466BB" w:rsidP="000466BB">
            <w:pPr>
              <w:spacing w:before="20" w:afterLines="20" w:after="48"/>
            </w:pPr>
            <w:r w:rsidRPr="000466BB">
              <w:rPr>
                <w:b/>
              </w:rPr>
              <w:lastRenderedPageBreak/>
              <w:t>IV.A.2</w:t>
            </w:r>
            <w:proofErr w:type="gramStart"/>
            <w:r w:rsidR="008B4CF6">
              <w:rPr>
                <w:b/>
              </w:rPr>
              <w:t>.</w:t>
            </w:r>
            <w:r>
              <w:t xml:space="preserve"> </w:t>
            </w:r>
            <w:r w:rsidR="00BF4BF8">
              <w:t xml:space="preserve"> </w:t>
            </w:r>
            <w:r w:rsidRPr="00EF7CC3">
              <w:t>The</w:t>
            </w:r>
            <w:proofErr w:type="gramEnd"/>
            <w:r w:rsidRPr="00EF7CC3">
              <w:t xml:space="preserve"> institution establishes and implements policy and procedures authorizing administrator, faculty, and staff participation in decision-making processes. The policy makes provisions for student participation and consideration of student views in those matters in which students have a direct and reasonable interest. </w:t>
            </w:r>
          </w:p>
          <w:p w:rsidR="00BF4BF8" w:rsidRDefault="000466BB" w:rsidP="001D71F6">
            <w:pPr>
              <w:spacing w:before="20" w:afterLines="20" w:after="48"/>
            </w:pPr>
            <w:r w:rsidRPr="00EF7CC3">
              <w:t xml:space="preserve">Policy specifies the manner in which individuals bring forward ideas and work together on appropriate policy, planning, and special-purpose committees. </w:t>
            </w:r>
          </w:p>
        </w:tc>
        <w:tc>
          <w:tcPr>
            <w:tcW w:w="3654" w:type="dxa"/>
          </w:tcPr>
          <w:p w:rsidR="00BF4BF8" w:rsidRDefault="00BF4BF8" w:rsidP="00BE3F4D">
            <w:pPr>
              <w:pStyle w:val="ListParagraph"/>
              <w:numPr>
                <w:ilvl w:val="0"/>
                <w:numId w:val="2"/>
              </w:numPr>
              <w:ind w:left="126" w:hanging="180"/>
            </w:pPr>
          </w:p>
        </w:tc>
        <w:tc>
          <w:tcPr>
            <w:tcW w:w="3654" w:type="dxa"/>
          </w:tcPr>
          <w:p w:rsidR="00BF4BF8" w:rsidRDefault="00BF4BF8" w:rsidP="00BE3F4D">
            <w:pPr>
              <w:pStyle w:val="ListParagraph"/>
              <w:numPr>
                <w:ilvl w:val="0"/>
                <w:numId w:val="2"/>
              </w:numPr>
              <w:ind w:left="126" w:hanging="180"/>
            </w:pPr>
          </w:p>
        </w:tc>
        <w:tc>
          <w:tcPr>
            <w:tcW w:w="3654" w:type="dxa"/>
          </w:tcPr>
          <w:p w:rsidR="00BF4BF8" w:rsidRDefault="00BF4BF8" w:rsidP="00BE3F4D">
            <w:pPr>
              <w:pStyle w:val="ListParagraph"/>
              <w:numPr>
                <w:ilvl w:val="0"/>
                <w:numId w:val="2"/>
              </w:numPr>
              <w:ind w:left="126" w:hanging="180"/>
            </w:pPr>
          </w:p>
        </w:tc>
      </w:tr>
      <w:tr w:rsidR="00BF4BF8" w:rsidTr="00BF4BF8">
        <w:tc>
          <w:tcPr>
            <w:tcW w:w="3654" w:type="dxa"/>
          </w:tcPr>
          <w:p w:rsidR="00BF4BF8" w:rsidRDefault="008B4CF6" w:rsidP="001D71F6">
            <w:pPr>
              <w:spacing w:before="20" w:afterLines="20" w:after="48"/>
            </w:pPr>
            <w:r w:rsidRPr="008B4CF6">
              <w:rPr>
                <w:b/>
              </w:rPr>
              <w:t>IV.A.3</w:t>
            </w:r>
            <w:proofErr w:type="gramStart"/>
            <w:r w:rsidRPr="008B4CF6">
              <w:rPr>
                <w:b/>
              </w:rPr>
              <w:t>.</w:t>
            </w:r>
            <w:r>
              <w:t xml:space="preserve">  </w:t>
            </w:r>
            <w:r w:rsidRPr="00EF7CC3">
              <w:t>Administrators</w:t>
            </w:r>
            <w:proofErr w:type="gramEnd"/>
            <w:r w:rsidRPr="00EF7CC3">
              <w:t xml:space="preserve"> and faculty, through policy and procedures, have a substantive and</w:t>
            </w:r>
            <w:r>
              <w:t xml:space="preserve"> </w:t>
            </w:r>
            <w:r w:rsidRPr="00EF7CC3">
              <w:t>clearly defined role in institutional governance and exercise a substantial voice</w:t>
            </w:r>
            <w:r>
              <w:t xml:space="preserve"> in institutional policies, planning, and budget that relate to their areas of responsibility and expertise.</w:t>
            </w:r>
          </w:p>
        </w:tc>
        <w:tc>
          <w:tcPr>
            <w:tcW w:w="3654" w:type="dxa"/>
          </w:tcPr>
          <w:p w:rsidR="00BF4BF8" w:rsidRDefault="00BF4BF8" w:rsidP="00BE3F4D">
            <w:pPr>
              <w:pStyle w:val="ListParagraph"/>
              <w:numPr>
                <w:ilvl w:val="0"/>
                <w:numId w:val="2"/>
              </w:numPr>
              <w:ind w:left="126" w:hanging="180"/>
            </w:pPr>
          </w:p>
        </w:tc>
        <w:tc>
          <w:tcPr>
            <w:tcW w:w="3654" w:type="dxa"/>
          </w:tcPr>
          <w:p w:rsidR="00BF4BF8" w:rsidRDefault="00BF4BF8" w:rsidP="00BE3F4D">
            <w:pPr>
              <w:pStyle w:val="ListParagraph"/>
              <w:numPr>
                <w:ilvl w:val="0"/>
                <w:numId w:val="2"/>
              </w:numPr>
              <w:ind w:left="126" w:hanging="180"/>
            </w:pPr>
          </w:p>
        </w:tc>
        <w:tc>
          <w:tcPr>
            <w:tcW w:w="3654" w:type="dxa"/>
          </w:tcPr>
          <w:p w:rsidR="00BF4BF8" w:rsidRDefault="00BF4BF8" w:rsidP="00BE3F4D">
            <w:pPr>
              <w:pStyle w:val="ListParagraph"/>
              <w:numPr>
                <w:ilvl w:val="0"/>
                <w:numId w:val="2"/>
              </w:numPr>
              <w:ind w:left="126" w:hanging="180"/>
            </w:pPr>
          </w:p>
        </w:tc>
      </w:tr>
      <w:tr w:rsidR="00BF4BF8" w:rsidTr="00BF4BF8">
        <w:tc>
          <w:tcPr>
            <w:tcW w:w="3654" w:type="dxa"/>
          </w:tcPr>
          <w:p w:rsidR="00BF4BF8" w:rsidRDefault="008B4CF6" w:rsidP="00FE0E53">
            <w:r>
              <w:rPr>
                <w:b/>
              </w:rPr>
              <w:t>IV.A.4</w:t>
            </w:r>
            <w:r w:rsidR="00BF4BF8" w:rsidRPr="00FE0E53">
              <w:rPr>
                <w:b/>
              </w:rPr>
              <w:t>.</w:t>
            </w:r>
            <w:r w:rsidR="00BF4BF8">
              <w:t xml:space="preserve"> </w:t>
            </w:r>
            <w:r w:rsidRPr="00EF7CC3">
              <w:t>Faculty and academic administrators, through policy and procedures, and through well-defined structures, have responsibility for recommendations about curriculum and student learning programs and services.</w:t>
            </w:r>
          </w:p>
        </w:tc>
        <w:tc>
          <w:tcPr>
            <w:tcW w:w="3654" w:type="dxa"/>
          </w:tcPr>
          <w:p w:rsidR="00BF4BF8" w:rsidRDefault="00BF4BF8" w:rsidP="00BE3F4D">
            <w:pPr>
              <w:pStyle w:val="ListParagraph"/>
              <w:numPr>
                <w:ilvl w:val="0"/>
                <w:numId w:val="2"/>
              </w:numPr>
              <w:ind w:left="126" w:hanging="180"/>
            </w:pPr>
          </w:p>
        </w:tc>
        <w:tc>
          <w:tcPr>
            <w:tcW w:w="3654" w:type="dxa"/>
          </w:tcPr>
          <w:p w:rsidR="00BF4BF8" w:rsidRDefault="00BF4BF8" w:rsidP="00BE3F4D">
            <w:pPr>
              <w:pStyle w:val="ListParagraph"/>
              <w:numPr>
                <w:ilvl w:val="0"/>
                <w:numId w:val="2"/>
              </w:numPr>
              <w:ind w:left="126" w:hanging="180"/>
            </w:pPr>
          </w:p>
        </w:tc>
        <w:tc>
          <w:tcPr>
            <w:tcW w:w="3654" w:type="dxa"/>
          </w:tcPr>
          <w:p w:rsidR="00BF4BF8" w:rsidRDefault="00BF4BF8" w:rsidP="00BE3F4D">
            <w:pPr>
              <w:pStyle w:val="ListParagraph"/>
              <w:numPr>
                <w:ilvl w:val="0"/>
                <w:numId w:val="2"/>
              </w:numPr>
              <w:ind w:left="126" w:hanging="180"/>
            </w:pPr>
          </w:p>
        </w:tc>
      </w:tr>
      <w:tr w:rsidR="008B4CF6" w:rsidTr="00BF4BF8">
        <w:tc>
          <w:tcPr>
            <w:tcW w:w="3654" w:type="dxa"/>
          </w:tcPr>
          <w:p w:rsidR="008B4CF6" w:rsidRDefault="008B4CF6" w:rsidP="001D71F6">
            <w:pPr>
              <w:spacing w:before="20" w:afterLines="20" w:after="48"/>
              <w:rPr>
                <w:b/>
              </w:rPr>
            </w:pPr>
            <w:r w:rsidRPr="008B4CF6">
              <w:rPr>
                <w:b/>
              </w:rPr>
              <w:t xml:space="preserve">IV.A.5. </w:t>
            </w:r>
            <w:r w:rsidRPr="00EF7CC3">
              <w:t>Through its system of board and institutional governance, the institution ensures the appropriate consideration of relevant perspectives; decision-making aligned with expertise and responsibility; and timely action on institutional plans, policies, curricular change, and other key considerations.</w:t>
            </w:r>
          </w:p>
        </w:tc>
        <w:tc>
          <w:tcPr>
            <w:tcW w:w="3654" w:type="dxa"/>
          </w:tcPr>
          <w:p w:rsidR="008B4CF6" w:rsidRDefault="008B4CF6" w:rsidP="00BE3F4D">
            <w:pPr>
              <w:pStyle w:val="ListParagraph"/>
              <w:numPr>
                <w:ilvl w:val="0"/>
                <w:numId w:val="2"/>
              </w:numPr>
              <w:ind w:left="126" w:hanging="180"/>
            </w:pPr>
          </w:p>
        </w:tc>
        <w:tc>
          <w:tcPr>
            <w:tcW w:w="3654" w:type="dxa"/>
          </w:tcPr>
          <w:p w:rsidR="008B4CF6" w:rsidRDefault="008B4CF6" w:rsidP="00BE3F4D">
            <w:pPr>
              <w:pStyle w:val="ListParagraph"/>
              <w:numPr>
                <w:ilvl w:val="0"/>
                <w:numId w:val="2"/>
              </w:numPr>
              <w:ind w:left="126" w:hanging="180"/>
            </w:pPr>
          </w:p>
        </w:tc>
        <w:tc>
          <w:tcPr>
            <w:tcW w:w="3654" w:type="dxa"/>
          </w:tcPr>
          <w:p w:rsidR="008B4CF6" w:rsidRDefault="008B4CF6" w:rsidP="00BE3F4D">
            <w:pPr>
              <w:pStyle w:val="ListParagraph"/>
              <w:numPr>
                <w:ilvl w:val="0"/>
                <w:numId w:val="2"/>
              </w:numPr>
              <w:ind w:left="126" w:hanging="180"/>
            </w:pPr>
          </w:p>
        </w:tc>
      </w:tr>
      <w:tr w:rsidR="008B4CF6" w:rsidTr="00BF4BF8">
        <w:tc>
          <w:tcPr>
            <w:tcW w:w="3654" w:type="dxa"/>
          </w:tcPr>
          <w:p w:rsidR="008B4CF6" w:rsidRPr="008B4CF6" w:rsidRDefault="008B4CF6" w:rsidP="008B4CF6">
            <w:pPr>
              <w:spacing w:before="20" w:afterLines="20" w:after="48"/>
              <w:rPr>
                <w:b/>
              </w:rPr>
            </w:pPr>
            <w:r w:rsidRPr="008B4CF6">
              <w:rPr>
                <w:b/>
              </w:rPr>
              <w:lastRenderedPageBreak/>
              <w:t>IV.A.6</w:t>
            </w:r>
            <w:proofErr w:type="gramStart"/>
            <w:r w:rsidRPr="008B4CF6">
              <w:rPr>
                <w:b/>
              </w:rPr>
              <w:t>.</w:t>
            </w:r>
            <w:r>
              <w:t xml:space="preserve">  </w:t>
            </w:r>
            <w:r w:rsidRPr="00EF7CC3">
              <w:t>The</w:t>
            </w:r>
            <w:proofErr w:type="gramEnd"/>
            <w:r w:rsidRPr="00EF7CC3">
              <w:t xml:space="preserve"> processes for decision-making and the resulting decisions are documented and</w:t>
            </w:r>
            <w:r>
              <w:t xml:space="preserve"> </w:t>
            </w:r>
            <w:r w:rsidRPr="00EF7CC3">
              <w:t>widely communicated across the institution.</w:t>
            </w:r>
          </w:p>
        </w:tc>
        <w:tc>
          <w:tcPr>
            <w:tcW w:w="3654" w:type="dxa"/>
          </w:tcPr>
          <w:p w:rsidR="008B4CF6" w:rsidRDefault="008B4CF6" w:rsidP="00BE3F4D">
            <w:pPr>
              <w:pStyle w:val="ListParagraph"/>
              <w:numPr>
                <w:ilvl w:val="0"/>
                <w:numId w:val="2"/>
              </w:numPr>
              <w:ind w:left="126" w:hanging="180"/>
            </w:pPr>
          </w:p>
        </w:tc>
        <w:tc>
          <w:tcPr>
            <w:tcW w:w="3654" w:type="dxa"/>
          </w:tcPr>
          <w:p w:rsidR="008B4CF6" w:rsidRDefault="008B4CF6" w:rsidP="00BE3F4D">
            <w:pPr>
              <w:pStyle w:val="ListParagraph"/>
              <w:numPr>
                <w:ilvl w:val="0"/>
                <w:numId w:val="2"/>
              </w:numPr>
              <w:ind w:left="126" w:hanging="180"/>
            </w:pPr>
          </w:p>
        </w:tc>
        <w:tc>
          <w:tcPr>
            <w:tcW w:w="3654" w:type="dxa"/>
          </w:tcPr>
          <w:p w:rsidR="008B4CF6" w:rsidRDefault="008B4CF6" w:rsidP="00BE3F4D">
            <w:pPr>
              <w:pStyle w:val="ListParagraph"/>
              <w:numPr>
                <w:ilvl w:val="0"/>
                <w:numId w:val="2"/>
              </w:numPr>
              <w:ind w:left="126" w:hanging="180"/>
            </w:pPr>
          </w:p>
        </w:tc>
      </w:tr>
      <w:tr w:rsidR="008B4CF6" w:rsidTr="00BF4BF8">
        <w:tc>
          <w:tcPr>
            <w:tcW w:w="3654" w:type="dxa"/>
          </w:tcPr>
          <w:p w:rsidR="008B4CF6" w:rsidRPr="008B4CF6" w:rsidRDefault="008B4CF6" w:rsidP="008B4CF6">
            <w:pPr>
              <w:spacing w:before="20" w:afterLines="20" w:after="48"/>
              <w:rPr>
                <w:b/>
              </w:rPr>
            </w:pPr>
            <w:r w:rsidRPr="008B4CF6">
              <w:rPr>
                <w:b/>
              </w:rPr>
              <w:t>IV.A.7</w:t>
            </w:r>
            <w:proofErr w:type="gramStart"/>
            <w:r>
              <w:t xml:space="preserve">.  </w:t>
            </w:r>
            <w:r w:rsidRPr="00EF7CC3">
              <w:t>Leadership</w:t>
            </w:r>
            <w:proofErr w:type="gramEnd"/>
            <w:r w:rsidRPr="00EF7CC3">
              <w:t xml:space="preserve"> roles and the institution’s governance and decision-making policies, procedures, and processes are regularly evaluated to assure their integrity and</w:t>
            </w:r>
            <w:r>
              <w:t xml:space="preserve"> </w:t>
            </w:r>
            <w:r w:rsidRPr="00EF7CC3">
              <w:t>effectiveness. The institution widely communicates the results of these evaluations and uses them as the basis for improvement.</w:t>
            </w:r>
          </w:p>
        </w:tc>
        <w:tc>
          <w:tcPr>
            <w:tcW w:w="3654" w:type="dxa"/>
          </w:tcPr>
          <w:p w:rsidR="008B4CF6" w:rsidRDefault="008B4CF6" w:rsidP="00BE3F4D">
            <w:pPr>
              <w:pStyle w:val="ListParagraph"/>
              <w:numPr>
                <w:ilvl w:val="0"/>
                <w:numId w:val="2"/>
              </w:numPr>
              <w:ind w:left="126" w:hanging="180"/>
            </w:pPr>
          </w:p>
        </w:tc>
        <w:tc>
          <w:tcPr>
            <w:tcW w:w="3654" w:type="dxa"/>
          </w:tcPr>
          <w:p w:rsidR="008B4CF6" w:rsidRDefault="008B4CF6" w:rsidP="00BE3F4D">
            <w:pPr>
              <w:pStyle w:val="ListParagraph"/>
              <w:numPr>
                <w:ilvl w:val="0"/>
                <w:numId w:val="2"/>
              </w:numPr>
              <w:ind w:left="126" w:hanging="180"/>
            </w:pPr>
          </w:p>
        </w:tc>
        <w:tc>
          <w:tcPr>
            <w:tcW w:w="3654" w:type="dxa"/>
          </w:tcPr>
          <w:p w:rsidR="008B4CF6" w:rsidRDefault="008B4CF6" w:rsidP="00BE3F4D">
            <w:pPr>
              <w:pStyle w:val="ListParagraph"/>
              <w:numPr>
                <w:ilvl w:val="0"/>
                <w:numId w:val="2"/>
              </w:numPr>
              <w:ind w:left="126" w:hanging="180"/>
            </w:pPr>
          </w:p>
        </w:tc>
      </w:tr>
    </w:tbl>
    <w:p w:rsidR="00FE0E53" w:rsidRDefault="00FE0E53" w:rsidP="00FE0E53">
      <w:pPr>
        <w:spacing w:after="0"/>
      </w:pPr>
    </w:p>
    <w:p w:rsidR="00FE0E53" w:rsidRDefault="00FE0E53" w:rsidP="00FE0E53">
      <w:pPr>
        <w:spacing w:after="0"/>
      </w:pPr>
    </w:p>
    <w:p w:rsidR="00FE0E53" w:rsidRDefault="00FE0E53" w:rsidP="00FE0E53">
      <w:pPr>
        <w:spacing w:after="0"/>
      </w:pPr>
    </w:p>
    <w:p w:rsidR="00FE0E53" w:rsidRDefault="00FE0E53" w:rsidP="00FE0E53">
      <w:pPr>
        <w:spacing w:after="0"/>
      </w:pPr>
    </w:p>
    <w:sectPr w:rsidR="00FE0E53" w:rsidSect="00FE0E5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46F2"/>
    <w:multiLevelType w:val="hybridMultilevel"/>
    <w:tmpl w:val="3D8ED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55B20"/>
    <w:multiLevelType w:val="hybridMultilevel"/>
    <w:tmpl w:val="2AEC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EF01DC"/>
    <w:multiLevelType w:val="hybridMultilevel"/>
    <w:tmpl w:val="B4FE2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DF65FF"/>
    <w:multiLevelType w:val="hybridMultilevel"/>
    <w:tmpl w:val="51302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FE35E0"/>
    <w:multiLevelType w:val="hybridMultilevel"/>
    <w:tmpl w:val="16B6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E53"/>
    <w:rsid w:val="000466BB"/>
    <w:rsid w:val="000876FF"/>
    <w:rsid w:val="00142FD6"/>
    <w:rsid w:val="001D71F6"/>
    <w:rsid w:val="002748AC"/>
    <w:rsid w:val="002D4B9F"/>
    <w:rsid w:val="006322E6"/>
    <w:rsid w:val="00632C73"/>
    <w:rsid w:val="008B4CF6"/>
    <w:rsid w:val="00BF4BF8"/>
    <w:rsid w:val="00DE0E3C"/>
    <w:rsid w:val="00FE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0E5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E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E53"/>
    <w:pPr>
      <w:ind w:left="720"/>
      <w:contextualSpacing/>
    </w:pPr>
  </w:style>
  <w:style w:type="character" w:styleId="Hyperlink">
    <w:name w:val="Hyperlink"/>
    <w:basedOn w:val="DefaultParagraphFont"/>
    <w:uiPriority w:val="99"/>
    <w:unhideWhenUsed/>
    <w:rsid w:val="00BF4B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0E5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E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E53"/>
    <w:pPr>
      <w:ind w:left="720"/>
      <w:contextualSpacing/>
    </w:pPr>
  </w:style>
  <w:style w:type="character" w:styleId="Hyperlink">
    <w:name w:val="Hyperlink"/>
    <w:basedOn w:val="DefaultParagraphFont"/>
    <w:uiPriority w:val="99"/>
    <w:unhideWhenUsed/>
    <w:rsid w:val="00BF4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atum@bakersfield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Manny</dc:creator>
  <cp:lastModifiedBy>imguser</cp:lastModifiedBy>
  <cp:revision>3</cp:revision>
  <dcterms:created xsi:type="dcterms:W3CDTF">2014-10-02T22:19:00Z</dcterms:created>
  <dcterms:modified xsi:type="dcterms:W3CDTF">2014-10-02T22:22:00Z</dcterms:modified>
</cp:coreProperties>
</file>