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January 13, 2023</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10:58.</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D">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Urias - Present</w:t>
      </w:r>
    </w:p>
    <w:p w:rsidR="00000000" w:rsidDel="00000000" w:rsidP="00000000" w:rsidRDefault="00000000" w:rsidRPr="00000000" w14:paraId="0000000E">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Anguiano - Present</w:t>
      </w:r>
    </w:p>
    <w:p w:rsidR="00000000" w:rsidDel="00000000" w:rsidP="00000000" w:rsidRDefault="00000000" w:rsidRPr="00000000" w14:paraId="0000000F">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Escalante - Present</w:t>
      </w:r>
    </w:p>
    <w:p w:rsidR="00000000" w:rsidDel="00000000" w:rsidP="00000000" w:rsidRDefault="00000000" w:rsidRPr="00000000" w14:paraId="00000010">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3/3 Members are present, quorum is established and a bona fide meeting can be held.</w:t>
      </w:r>
      <w:r w:rsidDel="00000000" w:rsidR="00000000" w:rsidRPr="00000000">
        <w:rPr>
          <w:rtl w:val="0"/>
        </w:rPr>
      </w:r>
    </w:p>
    <w:p w:rsidR="00000000" w:rsidDel="00000000" w:rsidP="00000000" w:rsidRDefault="00000000" w:rsidRPr="00000000" w14:paraId="00000011">
      <w:pPr>
        <w:pStyle w:val="Heading1"/>
        <w:ind w:left="0" w:firstLine="0"/>
        <w:rPr/>
      </w:pPr>
      <w:r w:rsidDel="00000000" w:rsidR="00000000" w:rsidRPr="00000000">
        <w:rPr>
          <w:rtl w:val="0"/>
        </w:rPr>
      </w:r>
    </w:p>
    <w:p w:rsidR="00000000" w:rsidDel="00000000" w:rsidP="00000000" w:rsidRDefault="00000000" w:rsidRPr="00000000" w14:paraId="00000012">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December 9, 2022</w:t>
      </w:r>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seconded by Senator Anguiano. Motion passed.</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Welcome week is coming up and we’re preparing for that. Everything is in line, we’re just looking for supplies for the Minute to Win It! games. Other than that, hope you all have a great semester.</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 None</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Nothing to report.</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Nothing to report.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Nothing to report.</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mallCaps w:val="1"/>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Weeks of Welcome.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We may experience some weather issues, but the OSL tent will be our main hub.. The first week Tuesday and Wednesday we’ll have muffins and coffee, and Thursday we will have our DSS speaker Evan Austin, paralympic gold medalist. We will be serving fresh popcorn that day. The next Monday will be Game On!, if you have consoles to share for that day that would be appreciated. Karaoke will be on Tuesday, come sing or just have fun. Wednesday we’ll have Minute to Win It!, some chances to win prizes. We’ll have 4 stations of games, and each station will give a ticket. 4 tickets equal a bucket hat, if less we’ll offer other participatory swag. On Thursday we’ll have campus rush for information on campus resources, as well as student organizations. Friday we will have our movie night in the ballroom, we’ll be showing Mean Girls and having a costume contest. Bring your most “fetch” outfit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360" w:firstLine="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2E">
      <w:pPr>
        <w:spacing w:after="0" w:lineRule="auto"/>
        <w:ind w:left="0" w:firstLine="720"/>
        <w:rPr>
          <w:rFonts w:ascii="Garamond" w:cs="Garamond" w:eastAsia="Garamond" w:hAnsi="Garamond"/>
          <w:smallCaps w:val="1"/>
          <w:sz w:val="20"/>
          <w:szCs w:val="20"/>
        </w:rPr>
      </w:pPr>
      <w:r w:rsidDel="00000000" w:rsidR="00000000" w:rsidRPr="00000000">
        <w:rPr>
          <w:rFonts w:ascii="Garamond" w:cs="Garamond" w:eastAsia="Garamond" w:hAnsi="Garamond"/>
          <w:sz w:val="20"/>
          <w:szCs w:val="20"/>
          <w:rtl w:val="0"/>
        </w:rPr>
        <w:t xml:space="preserve">Meeting adjourned at 11:05.</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3A">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B">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C">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D">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F">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1">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2">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3">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28, 2022</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6">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L8mgiVg02xnYGNKZ8ncDdkGcpQ==">AMUW2mWG21xBmwypnnUqLXlviZ15VUSC779or9685zehGiupWNV3sLejHRoGbEUTQajYSRpsZs8vZdS6w+Z1WP/xn31X3tIAUGyao9b3wEPB4swL9Bvp+WJ4zrhcQW68YyeRldiJHuB+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2023-01-10T18:49:00Z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