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0435" w:type="dxa"/>
        <w:jc w:val="center"/>
        <w:tblLayout w:type="fixed"/>
        <w:tblCellMar>
          <w:left w:w="115" w:type="dxa"/>
          <w:right w:w="0" w:type="dxa"/>
        </w:tblCellMar>
        <w:tblLook w:val="04A0" w:firstRow="1" w:lastRow="0" w:firstColumn="1" w:lastColumn="0" w:noHBand="0" w:noVBand="1"/>
      </w:tblPr>
      <w:tblGrid>
        <w:gridCol w:w="265"/>
        <w:gridCol w:w="9900"/>
        <w:gridCol w:w="270"/>
      </w:tblGrid>
      <w:tr w:rsidR="008C3C9D" w:rsidRPr="00E3013D" w:rsidTr="00FF1D3B">
        <w:trPr>
          <w:trHeight w:val="575"/>
          <w:jc w:val="center"/>
        </w:trPr>
        <w:tc>
          <w:tcPr>
            <w:tcW w:w="10435" w:type="dxa"/>
            <w:gridSpan w:val="3"/>
            <w:shd w:val="clear" w:color="auto" w:fill="FFC000"/>
          </w:tcPr>
          <w:p w:rsidR="001D2385" w:rsidRDefault="008C3C9D" w:rsidP="001D2385">
            <w:pPr>
              <w:spacing w:line="240" w:lineRule="auto"/>
              <w:jc w:val="center"/>
              <w:rPr>
                <w:rFonts w:ascii="Times New Roman" w:eastAsia="Times New Roman" w:hAnsi="Times New Roman" w:cs="Times New Roman"/>
                <w:color w:val="000000"/>
                <w:kern w:val="28"/>
                <w:sz w:val="20"/>
                <w:szCs w:val="20"/>
              </w:rPr>
            </w:pPr>
            <w:r w:rsidRPr="008C3C9D">
              <w:rPr>
                <w:rFonts w:ascii="Times New Roman" w:eastAsia="Times New Roman" w:hAnsi="Times New Roman" w:cs="Times New Roman"/>
                <w:color w:val="000000"/>
                <w:kern w:val="28"/>
                <w:sz w:val="20"/>
                <w:szCs w:val="20"/>
              </w:rPr>
              <w:t>BC ASSESSMENT COMMITTEE MEETING</w:t>
            </w:r>
            <w:r w:rsidR="00FF15BF">
              <w:rPr>
                <w:rFonts w:ascii="Times New Roman" w:eastAsia="Times New Roman" w:hAnsi="Times New Roman" w:cs="Times New Roman"/>
                <w:color w:val="000000"/>
                <w:kern w:val="28"/>
                <w:sz w:val="20"/>
                <w:szCs w:val="20"/>
              </w:rPr>
              <w:t xml:space="preserve">- MINUTES </w:t>
            </w:r>
            <w:r w:rsidR="00FF15BF" w:rsidRPr="00FF15BF">
              <w:rPr>
                <w:rFonts w:ascii="Times New Roman" w:eastAsia="Times New Roman" w:hAnsi="Times New Roman" w:cs="Times New Roman"/>
                <w:b/>
                <w:i/>
                <w:color w:val="000000"/>
                <w:kern w:val="28"/>
                <w:sz w:val="20"/>
                <w:szCs w:val="20"/>
              </w:rPr>
              <w:t>UNAPPROVED</w:t>
            </w:r>
          </w:p>
          <w:p w:rsidR="008C3C9D" w:rsidRDefault="008C3C9D" w:rsidP="001D2385">
            <w:pPr>
              <w:spacing w:line="240" w:lineRule="auto"/>
              <w:jc w:val="center"/>
              <w:rPr>
                <w:rFonts w:ascii="Times New Roman" w:eastAsia="Times New Roman" w:hAnsi="Times New Roman" w:cs="Times New Roman"/>
                <w:color w:val="000000"/>
                <w:kern w:val="28"/>
                <w:sz w:val="20"/>
                <w:szCs w:val="20"/>
              </w:rPr>
            </w:pPr>
            <w:r w:rsidRPr="008C3C9D">
              <w:rPr>
                <w:rFonts w:ascii="Times New Roman" w:eastAsia="Times New Roman" w:hAnsi="Times New Roman" w:cs="Times New Roman"/>
                <w:color w:val="000000"/>
                <w:kern w:val="28"/>
                <w:sz w:val="20"/>
                <w:szCs w:val="20"/>
              </w:rPr>
              <w:t>September 23th, 2016 1030-1200 in Lev 40</w:t>
            </w:r>
            <w:r w:rsidRPr="008C3C9D">
              <w:rPr>
                <w:rFonts w:ascii="Times New Roman" w:eastAsia="Times New Roman" w:hAnsi="Times New Roman" w:cs="Times New Roman"/>
                <w:color w:val="000000"/>
                <w:kern w:val="28"/>
                <w:sz w:val="20"/>
                <w:szCs w:val="20"/>
              </w:rPr>
              <w:tab/>
            </w:r>
          </w:p>
          <w:p w:rsidR="001D2385" w:rsidRPr="001D2385" w:rsidRDefault="001D2385" w:rsidP="001D2385">
            <w:pPr>
              <w:spacing w:line="240" w:lineRule="auto"/>
              <w:jc w:val="center"/>
              <w:rPr>
                <w:rFonts w:ascii="Times New Roman" w:eastAsia="Times New Roman" w:hAnsi="Times New Roman" w:cs="Times New Roman"/>
                <w:b/>
                <w:i/>
                <w:color w:val="000000"/>
                <w:kern w:val="28"/>
                <w:sz w:val="20"/>
                <w:szCs w:val="20"/>
              </w:rPr>
            </w:pPr>
            <w:r w:rsidRPr="001D2385">
              <w:rPr>
                <w:rFonts w:ascii="Times New Roman" w:eastAsia="Times New Roman" w:hAnsi="Times New Roman" w:cs="Times New Roman"/>
                <w:b/>
                <w:i/>
                <w:color w:val="000000"/>
                <w:kern w:val="28"/>
                <w:sz w:val="20"/>
                <w:szCs w:val="20"/>
              </w:rPr>
              <w:t>STARTED 1030- ADJOURNED 1205</w:t>
            </w: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p>
        </w:tc>
        <w:tc>
          <w:tcPr>
            <w:tcW w:w="9900" w:type="dxa"/>
            <w:tcBorders>
              <w:right w:val="nil"/>
            </w:tcBorders>
          </w:tcPr>
          <w:p w:rsidR="008C3C9D" w:rsidRDefault="008C3C9D" w:rsidP="00FF1D3B">
            <w:pPr>
              <w:spacing w:before="100" w:beforeAutospacing="1" w:after="100" w:afterAutospacing="1" w:line="240" w:lineRule="auto"/>
              <w:contextualSpacing/>
            </w:pPr>
            <w:r>
              <w:t>Attendance: Di Hoffman, Michelle Hart, Eleonara Hicks, Zannie (Alexandra) Dallara, Gayle Richardson, Helen Acosta, Pam Davis, Justin Flint, Melinda (Mindy) Wilmot, Faith Bradham, Nigie Shi, Ronnie Knabe, Brian Sivesind, Peter LeGrant, Ximena Da Silva Tavares, Marisa Marquez, David Neville, Edie Nelson</w:t>
            </w:r>
          </w:p>
        </w:tc>
        <w:tc>
          <w:tcPr>
            <w:tcW w:w="270" w:type="dxa"/>
            <w:tcBorders>
              <w:left w:val="nil"/>
            </w:tcBorders>
          </w:tcPr>
          <w:p w:rsidR="008C3C9D" w:rsidRDefault="008C3C9D" w:rsidP="00FF1D3B">
            <w:pPr>
              <w:spacing w:before="100" w:beforeAutospacing="1" w:after="100" w:afterAutospacing="1" w:line="240" w:lineRule="auto"/>
              <w:jc w:val="center"/>
              <w:rPr>
                <w:sz w:val="20"/>
                <w:szCs w:val="20"/>
              </w:rPr>
            </w:pPr>
          </w:p>
        </w:tc>
      </w:tr>
      <w:tr w:rsidR="008C3C9D" w:rsidRPr="00E65219" w:rsidTr="00FF1D3B">
        <w:trPr>
          <w:trHeight w:val="350"/>
          <w:jc w:val="center"/>
        </w:trPr>
        <w:tc>
          <w:tcPr>
            <w:tcW w:w="265" w:type="dxa"/>
          </w:tcPr>
          <w:p w:rsidR="008C3C9D" w:rsidRPr="00E65219" w:rsidRDefault="008C3C9D" w:rsidP="00FF1D3B">
            <w:pPr>
              <w:spacing w:before="100" w:beforeAutospacing="1" w:after="100" w:afterAutospacing="1" w:line="240" w:lineRule="auto"/>
            </w:pPr>
            <w:r w:rsidRPr="00E65219">
              <w:t>1</w:t>
            </w:r>
          </w:p>
        </w:tc>
        <w:tc>
          <w:tcPr>
            <w:tcW w:w="9900" w:type="dxa"/>
            <w:tcBorders>
              <w:right w:val="nil"/>
            </w:tcBorders>
          </w:tcPr>
          <w:p w:rsidR="008C3C9D" w:rsidRPr="00E65219" w:rsidRDefault="008C3C9D" w:rsidP="00FF1D3B">
            <w:pPr>
              <w:spacing w:before="100" w:beforeAutospacing="1" w:after="100" w:afterAutospacing="1" w:line="240" w:lineRule="auto"/>
              <w:contextualSpacing/>
            </w:pPr>
            <w:r>
              <w:t xml:space="preserve">Call to Order &amp; </w:t>
            </w:r>
            <w:r w:rsidRPr="00E65219">
              <w:t>Welcome!</w:t>
            </w:r>
            <w:r>
              <w:t xml:space="preserve"> -</w:t>
            </w:r>
            <w:r w:rsidRPr="008C3C9D">
              <w:rPr>
                <w:i/>
              </w:rPr>
              <w:t xml:space="preserve"> Di</w:t>
            </w: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2</w:t>
            </w:r>
          </w:p>
        </w:tc>
        <w:tc>
          <w:tcPr>
            <w:tcW w:w="9900" w:type="dxa"/>
            <w:tcBorders>
              <w:right w:val="nil"/>
            </w:tcBorders>
          </w:tcPr>
          <w:p w:rsidR="008C3C9D" w:rsidRPr="00E65219" w:rsidRDefault="008C3C9D" w:rsidP="00FF1D3B">
            <w:pPr>
              <w:spacing w:before="100" w:beforeAutospacing="1" w:after="100" w:afterAutospacing="1" w:line="240" w:lineRule="auto"/>
              <w:contextualSpacing/>
            </w:pPr>
            <w:r w:rsidRPr="00E65219">
              <w:t>Today’s Note Taker?</w:t>
            </w:r>
            <w:r>
              <w:t xml:space="preserve"> - </w:t>
            </w:r>
            <w:r w:rsidRPr="008C3C9D">
              <w:rPr>
                <w:i/>
              </w:rPr>
              <w:t>Di</w:t>
            </w: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3</w:t>
            </w:r>
          </w:p>
        </w:tc>
        <w:tc>
          <w:tcPr>
            <w:tcW w:w="9900" w:type="dxa"/>
            <w:tcBorders>
              <w:right w:val="nil"/>
            </w:tcBorders>
          </w:tcPr>
          <w:p w:rsidR="008C3C9D" w:rsidRPr="00E65219" w:rsidRDefault="008C3C9D" w:rsidP="00FF1D3B">
            <w:pPr>
              <w:spacing w:before="100" w:beforeAutospacing="1" w:after="100" w:afterAutospacing="1" w:line="240" w:lineRule="auto"/>
              <w:contextualSpacing/>
            </w:pPr>
            <w:r w:rsidRPr="00E65219">
              <w:t>Review</w:t>
            </w:r>
            <w:r>
              <w:t xml:space="preserve"> and approval of 9/9/16 minutes (posted) – </w:t>
            </w:r>
            <w:r w:rsidRPr="008C3C9D">
              <w:rPr>
                <w:i/>
              </w:rPr>
              <w:t>Motion to approve – Justin Flint, 2</w:t>
            </w:r>
            <w:r w:rsidRPr="008C3C9D">
              <w:rPr>
                <w:i/>
                <w:vertAlign w:val="superscript"/>
              </w:rPr>
              <w:t>nd</w:t>
            </w:r>
            <w:r w:rsidRPr="008C3C9D">
              <w:rPr>
                <w:i/>
              </w:rPr>
              <w:t xml:space="preserve"> – Ronnie Knabe</w:t>
            </w: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4</w:t>
            </w:r>
          </w:p>
        </w:tc>
        <w:tc>
          <w:tcPr>
            <w:tcW w:w="9900" w:type="dxa"/>
            <w:tcBorders>
              <w:right w:val="nil"/>
            </w:tcBorders>
          </w:tcPr>
          <w:p w:rsidR="008C3C9D" w:rsidRDefault="008C3C9D" w:rsidP="008F19CE">
            <w:pPr>
              <w:spacing w:line="240" w:lineRule="auto"/>
              <w:contextualSpacing/>
            </w:pPr>
            <w:r>
              <w:t>Old Business:</w:t>
            </w:r>
          </w:p>
          <w:p w:rsidR="008C3C9D" w:rsidRPr="00FF15BF" w:rsidRDefault="008C3C9D" w:rsidP="008F19CE">
            <w:pPr>
              <w:pStyle w:val="ListParagraph"/>
              <w:numPr>
                <w:ilvl w:val="0"/>
                <w:numId w:val="3"/>
              </w:numPr>
              <w:spacing w:line="240" w:lineRule="auto"/>
            </w:pPr>
            <w:r>
              <w:t>Adding column to website</w:t>
            </w:r>
            <w:r w:rsidR="00FF15BF">
              <w:t xml:space="preserve"> </w:t>
            </w:r>
            <w:r w:rsidR="00FF15BF">
              <w:rPr>
                <w:i/>
              </w:rPr>
              <w:t>– Looked at examples</w:t>
            </w:r>
            <w:r w:rsidR="001D2385">
              <w:rPr>
                <w:i/>
              </w:rPr>
              <w:t>, talked about difficulty for in</w:t>
            </w:r>
            <w:r w:rsidR="00FF15BF">
              <w:rPr>
                <w:i/>
              </w:rPr>
              <w:t>putting, versus ease of finding information.  Agreed to add tabs to current worksheets (Looked at Library course for example).  Mindy &amp; Faith able to do this (</w:t>
            </w:r>
            <w:r w:rsidR="00FF15BF" w:rsidRPr="00FF15BF">
              <w:rPr>
                <w:i/>
              </w:rPr>
              <w:sym w:font="Wingdings" w:char="F04A"/>
            </w:r>
            <w:r w:rsidR="00FF15BF">
              <w:rPr>
                <w:i/>
              </w:rPr>
              <w:t>)</w:t>
            </w:r>
          </w:p>
          <w:p w:rsidR="008C3C9D" w:rsidRDefault="00FF15BF" w:rsidP="00FF1D3B">
            <w:pPr>
              <w:spacing w:line="240" w:lineRule="auto"/>
              <w:ind w:left="720"/>
              <w:contextualSpacing/>
              <w:rPr>
                <w:b/>
                <w:i/>
                <w:color w:val="FF0000"/>
              </w:rPr>
            </w:pPr>
            <w:r>
              <w:rPr>
                <w:i/>
                <w:color w:val="FF0000"/>
              </w:rPr>
              <w:t>Concern about missing courses, etc. – EACH committee member to look at catalog for their discipline and ensure that each active course has a slot for mapping and assessment on committee website.</w:t>
            </w:r>
            <w:r w:rsidR="0045789A">
              <w:rPr>
                <w:i/>
                <w:color w:val="FF0000"/>
              </w:rPr>
              <w:t xml:space="preserve"> – </w:t>
            </w:r>
            <w:r w:rsidR="0045789A" w:rsidRPr="001D2385">
              <w:rPr>
                <w:b/>
                <w:i/>
                <w:color w:val="FF0000"/>
              </w:rPr>
              <w:t>f/u at 10/7 meeting</w:t>
            </w:r>
          </w:p>
          <w:p w:rsidR="001D2385" w:rsidRPr="00FF15BF" w:rsidRDefault="001D2385" w:rsidP="00FF1D3B">
            <w:pPr>
              <w:spacing w:line="240" w:lineRule="auto"/>
              <w:ind w:left="720"/>
              <w:contextualSpacing/>
              <w:rPr>
                <w:i/>
                <w:color w:val="FF0000"/>
              </w:rPr>
            </w:pPr>
          </w:p>
          <w:p w:rsidR="008C3C9D" w:rsidRPr="00FF15BF" w:rsidRDefault="008C3C9D" w:rsidP="00FF1D3B">
            <w:pPr>
              <w:pStyle w:val="ListParagraph"/>
              <w:numPr>
                <w:ilvl w:val="0"/>
                <w:numId w:val="3"/>
              </w:numPr>
              <w:spacing w:line="240" w:lineRule="auto"/>
            </w:pPr>
            <w:r>
              <w:t xml:space="preserve">Proposed changes to charge (attached) – </w:t>
            </w:r>
            <w:r w:rsidR="00FF15BF">
              <w:rPr>
                <w:i/>
              </w:rPr>
              <w:t>lengthy productive discussion regarding changes to charge.</w:t>
            </w:r>
          </w:p>
          <w:p w:rsidR="008C3C9D" w:rsidRPr="0045789A" w:rsidRDefault="00FF15BF" w:rsidP="00FF1D3B">
            <w:pPr>
              <w:spacing w:line="240" w:lineRule="auto"/>
              <w:ind w:left="720"/>
              <w:contextualSpacing/>
              <w:rPr>
                <w:i/>
                <w:color w:val="FF0000"/>
              </w:rPr>
            </w:pPr>
            <w:r>
              <w:rPr>
                <w:i/>
                <w:color w:val="FF0000"/>
              </w:rPr>
              <w:t>Di to put together changes discussed, talk with</w:t>
            </w:r>
            <w:r w:rsidR="00055E67">
              <w:rPr>
                <w:i/>
                <w:color w:val="FF0000"/>
              </w:rPr>
              <w:t xml:space="preserve"> Kate and Brian (EODAC) regarding Assessment committee versus EODAC role in disaggregating data on subpopulations (Strategic direction 1.9) – </w:t>
            </w:r>
            <w:r w:rsidR="00055E67" w:rsidRPr="001D2385">
              <w:rPr>
                <w:b/>
                <w:i/>
                <w:color w:val="FF0000"/>
              </w:rPr>
              <w:t>f/u at 10/7 meeting</w:t>
            </w:r>
          </w:p>
          <w:p w:rsidR="001D2385" w:rsidRDefault="008C3C9D" w:rsidP="001D2385">
            <w:pPr>
              <w:pStyle w:val="ListParagraph"/>
              <w:numPr>
                <w:ilvl w:val="0"/>
                <w:numId w:val="3"/>
              </w:numPr>
              <w:spacing w:before="100" w:beforeAutospacing="1" w:after="100" w:afterAutospacing="1" w:line="240" w:lineRule="auto"/>
            </w:pPr>
            <w:r>
              <w:t>eLumen</w:t>
            </w:r>
          </w:p>
          <w:p w:rsidR="008C3C9D" w:rsidRDefault="008C3C9D" w:rsidP="00FF1D3B">
            <w:pPr>
              <w:pStyle w:val="ListParagraph"/>
              <w:numPr>
                <w:ilvl w:val="1"/>
                <w:numId w:val="3"/>
              </w:numPr>
              <w:spacing w:after="100" w:afterAutospacing="1" w:line="240" w:lineRule="auto"/>
            </w:pPr>
            <w:r>
              <w:t xml:space="preserve">SLO Flowsheet </w:t>
            </w:r>
            <w:r w:rsidR="0045789A">
              <w:t xml:space="preserve"> </w:t>
            </w:r>
            <w:r w:rsidR="0045789A">
              <w:rPr>
                <w:i/>
              </w:rPr>
              <w:t>- Edie Nelson completed this! And sent to Kate and Liz for further review</w:t>
            </w:r>
          </w:p>
          <w:p w:rsidR="0045789A" w:rsidRPr="0045789A" w:rsidRDefault="008C3C9D" w:rsidP="00FF1D3B">
            <w:pPr>
              <w:pStyle w:val="ListParagraph"/>
              <w:numPr>
                <w:ilvl w:val="1"/>
                <w:numId w:val="3"/>
              </w:numPr>
              <w:spacing w:line="240" w:lineRule="auto"/>
            </w:pPr>
            <w:r>
              <w:t xml:space="preserve">Assessment workflow examples – </w:t>
            </w:r>
            <w:r w:rsidR="0045789A">
              <w:rPr>
                <w:i/>
              </w:rPr>
              <w:t>defer</w:t>
            </w:r>
          </w:p>
          <w:p w:rsidR="008C3C9D" w:rsidRPr="001D2385" w:rsidRDefault="0045789A" w:rsidP="00FF1D3B">
            <w:pPr>
              <w:spacing w:line="240" w:lineRule="auto"/>
              <w:ind w:left="1080"/>
              <w:contextualSpacing/>
              <w:rPr>
                <w:b/>
                <w:color w:val="FF0000"/>
              </w:rPr>
            </w:pPr>
            <w:r w:rsidRPr="0045789A">
              <w:rPr>
                <w:i/>
                <w:color w:val="FF0000"/>
              </w:rPr>
              <w:t xml:space="preserve">        </w:t>
            </w:r>
            <w:r w:rsidRPr="001D2385">
              <w:rPr>
                <w:b/>
                <w:i/>
                <w:color w:val="FF0000"/>
              </w:rPr>
              <w:t>f/u 10/7 meeting with Kate</w:t>
            </w:r>
          </w:p>
          <w:p w:rsidR="0045789A" w:rsidRDefault="008C3C9D" w:rsidP="00FF1D3B">
            <w:pPr>
              <w:pStyle w:val="ListParagraph"/>
              <w:numPr>
                <w:ilvl w:val="0"/>
                <w:numId w:val="3"/>
              </w:numPr>
              <w:spacing w:line="240" w:lineRule="auto"/>
            </w:pPr>
            <w:r>
              <w:t>Program Assessment – our assessment data</w:t>
            </w:r>
            <w:r w:rsidR="0045789A">
              <w:t xml:space="preserve"> </w:t>
            </w:r>
            <w:r w:rsidR="0045789A">
              <w:rPr>
                <w:i/>
              </w:rPr>
              <w:t>– defer – Awaiting information from Program review</w:t>
            </w:r>
          </w:p>
          <w:p w:rsidR="00FF1D3B" w:rsidRPr="00E65219" w:rsidRDefault="008C3C9D" w:rsidP="00FF1D3B">
            <w:pPr>
              <w:pStyle w:val="ListParagraph"/>
              <w:numPr>
                <w:ilvl w:val="0"/>
                <w:numId w:val="3"/>
              </w:numPr>
              <w:spacing w:before="100" w:beforeAutospacing="1" w:after="240" w:line="240" w:lineRule="auto"/>
            </w:pPr>
            <w:r>
              <w:t xml:space="preserve">Strategic Directions </w:t>
            </w:r>
            <w:r w:rsidR="0045789A">
              <w:t>–</w:t>
            </w:r>
            <w:r>
              <w:t xml:space="preserve"> changes</w:t>
            </w:r>
            <w:r w:rsidR="0045789A">
              <w:t xml:space="preserve"> </w:t>
            </w:r>
            <w:r w:rsidR="00FF1D3B">
              <w:rPr>
                <w:i/>
              </w:rPr>
              <w:t>–</w:t>
            </w:r>
            <w:r w:rsidR="0045789A">
              <w:rPr>
                <w:i/>
              </w:rPr>
              <w:t xml:space="preserve"> defer</w:t>
            </w:r>
          </w:p>
        </w:tc>
        <w:tc>
          <w:tcPr>
            <w:tcW w:w="270" w:type="dxa"/>
            <w:tcBorders>
              <w:left w:val="nil"/>
            </w:tcBorders>
          </w:tcPr>
          <w:p w:rsidR="008C3C9D" w:rsidRPr="00FF15BF" w:rsidRDefault="008C3C9D" w:rsidP="00FF1D3B">
            <w:pPr>
              <w:spacing w:before="100" w:beforeAutospacing="1" w:after="100" w:afterAutospacing="1" w:line="240" w:lineRule="auto"/>
              <w:jc w:val="center"/>
              <w:rPr>
                <w:i/>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5</w:t>
            </w:r>
          </w:p>
        </w:tc>
        <w:tc>
          <w:tcPr>
            <w:tcW w:w="9900" w:type="dxa"/>
            <w:tcBorders>
              <w:right w:val="nil"/>
            </w:tcBorders>
          </w:tcPr>
          <w:p w:rsidR="008C3C9D" w:rsidRDefault="008C3C9D" w:rsidP="00FF1D3B">
            <w:pPr>
              <w:spacing w:line="240" w:lineRule="auto"/>
              <w:contextualSpacing/>
            </w:pPr>
            <w:r>
              <w:t>Workshop</w:t>
            </w:r>
          </w:p>
          <w:p w:rsidR="008C3C9D" w:rsidRPr="0045789A" w:rsidRDefault="008C3C9D" w:rsidP="00FF1D3B">
            <w:pPr>
              <w:pStyle w:val="ListParagraph"/>
              <w:numPr>
                <w:ilvl w:val="0"/>
                <w:numId w:val="4"/>
              </w:numPr>
              <w:spacing w:line="240" w:lineRule="auto"/>
            </w:pPr>
            <w:r>
              <w:t>SLO development worksheet</w:t>
            </w:r>
            <w:r w:rsidR="0045789A">
              <w:t xml:space="preserve"> </w:t>
            </w:r>
            <w:r w:rsidR="0045789A">
              <w:rPr>
                <w:i/>
              </w:rPr>
              <w:t xml:space="preserve">– Di passed out </w:t>
            </w:r>
            <w:r w:rsidR="00676D5D">
              <w:rPr>
                <w:i/>
              </w:rPr>
              <w:t xml:space="preserve">ACCJC handout on definitions and </w:t>
            </w:r>
            <w:r w:rsidR="0045789A">
              <w:rPr>
                <w:i/>
              </w:rPr>
              <w:t>sample SLO worksheet for faculty – lots of resources used, need to put referenced in there, too long currently, hope to put in our Assessment handbook eventually</w:t>
            </w:r>
          </w:p>
          <w:p w:rsidR="008C3C9D" w:rsidRPr="0045789A" w:rsidRDefault="0045789A" w:rsidP="00FF1D3B">
            <w:pPr>
              <w:spacing w:line="240" w:lineRule="auto"/>
              <w:ind w:left="720"/>
              <w:contextualSpacing/>
              <w:rPr>
                <w:i/>
                <w:color w:val="FF0000"/>
              </w:rPr>
            </w:pPr>
            <w:r>
              <w:rPr>
                <w:i/>
                <w:color w:val="FF0000"/>
              </w:rPr>
              <w:t xml:space="preserve">Committee members to look at, come with </w:t>
            </w:r>
            <w:r w:rsidRPr="001D2385">
              <w:rPr>
                <w:b/>
                <w:i/>
                <w:color w:val="FF0000"/>
              </w:rPr>
              <w:t>feedback to 10/7 mtg</w:t>
            </w:r>
          </w:p>
          <w:p w:rsidR="008C3C9D" w:rsidRPr="0045789A" w:rsidRDefault="008C3C9D" w:rsidP="00FF1D3B">
            <w:pPr>
              <w:pStyle w:val="ListParagraph"/>
              <w:numPr>
                <w:ilvl w:val="0"/>
                <w:numId w:val="4"/>
              </w:numPr>
              <w:spacing w:line="240" w:lineRule="auto"/>
            </w:pPr>
            <w:r>
              <w:t>Pair up to review course SLO’s for approval</w:t>
            </w:r>
            <w:r w:rsidR="0045789A">
              <w:t xml:space="preserve"> </w:t>
            </w:r>
            <w:r w:rsidR="0045789A">
              <w:rPr>
                <w:i/>
              </w:rPr>
              <w:t>– defer</w:t>
            </w:r>
          </w:p>
          <w:p w:rsidR="0045789A" w:rsidRDefault="0045789A" w:rsidP="00FF1D3B">
            <w:pPr>
              <w:spacing w:after="240" w:line="240" w:lineRule="auto"/>
              <w:ind w:left="720"/>
              <w:contextualSpacing/>
              <w:rPr>
                <w:i/>
                <w:color w:val="FF0000"/>
              </w:rPr>
            </w:pPr>
            <w:r>
              <w:rPr>
                <w:i/>
                <w:color w:val="FF0000"/>
              </w:rPr>
              <w:t>Welding – Justin to review; Biology – Zannie to review</w:t>
            </w:r>
          </w:p>
          <w:p w:rsidR="00FF1D3B" w:rsidRPr="0045789A" w:rsidRDefault="00FF1D3B" w:rsidP="00FF1D3B">
            <w:pPr>
              <w:spacing w:after="240" w:line="240" w:lineRule="auto"/>
              <w:ind w:left="720"/>
              <w:contextualSpacing/>
              <w:rPr>
                <w:i/>
                <w:color w:val="FF0000"/>
              </w:rPr>
            </w:pPr>
          </w:p>
        </w:tc>
        <w:tc>
          <w:tcPr>
            <w:tcW w:w="270" w:type="dxa"/>
            <w:tcBorders>
              <w:left w:val="nil"/>
            </w:tcBorders>
          </w:tcPr>
          <w:p w:rsidR="008C3C9D" w:rsidRPr="00397C90" w:rsidRDefault="008C3C9D" w:rsidP="00FF1D3B">
            <w:pPr>
              <w:spacing w:before="100" w:beforeAutospacing="1" w:after="100" w:afterAutospacing="1" w:line="240" w:lineRule="auto"/>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6</w:t>
            </w:r>
          </w:p>
        </w:tc>
        <w:tc>
          <w:tcPr>
            <w:tcW w:w="9900" w:type="dxa"/>
            <w:tcBorders>
              <w:right w:val="nil"/>
            </w:tcBorders>
          </w:tcPr>
          <w:p w:rsidR="008C3C9D" w:rsidRDefault="008C3C9D" w:rsidP="00FF1D3B">
            <w:pPr>
              <w:spacing w:line="240" w:lineRule="auto"/>
              <w:contextualSpacing/>
            </w:pPr>
            <w:r>
              <w:t>Future Items</w:t>
            </w:r>
          </w:p>
          <w:p w:rsidR="008C3C9D" w:rsidRDefault="008C3C9D" w:rsidP="00FF1D3B">
            <w:pPr>
              <w:pStyle w:val="ListParagraph"/>
              <w:numPr>
                <w:ilvl w:val="0"/>
                <w:numId w:val="2"/>
              </w:numPr>
              <w:spacing w:line="240" w:lineRule="auto"/>
            </w:pPr>
            <w:r>
              <w:t>Develop BC Assessment Handbook</w:t>
            </w:r>
            <w:r w:rsidR="0045789A">
              <w:t xml:space="preserve"> </w:t>
            </w:r>
            <w:r w:rsidR="0045789A">
              <w:rPr>
                <w:i/>
              </w:rPr>
              <w:t>- defer</w:t>
            </w:r>
          </w:p>
          <w:p w:rsidR="008C3C9D" w:rsidRDefault="008C3C9D" w:rsidP="00FF1D3B">
            <w:pPr>
              <w:pStyle w:val="ListParagraph"/>
              <w:numPr>
                <w:ilvl w:val="0"/>
                <w:numId w:val="2"/>
              </w:numPr>
              <w:spacing w:line="240" w:lineRule="auto"/>
            </w:pPr>
            <w:r>
              <w:t>Flex workshops on SLO’s development, Assessment</w:t>
            </w:r>
            <w:r w:rsidR="0045789A">
              <w:t xml:space="preserve"> - </w:t>
            </w:r>
            <w:r w:rsidR="0045789A">
              <w:rPr>
                <w:i/>
              </w:rPr>
              <w:t>defer</w:t>
            </w:r>
          </w:p>
          <w:p w:rsidR="008C3C9D" w:rsidRDefault="008C3C9D" w:rsidP="00FF1D3B">
            <w:pPr>
              <w:pStyle w:val="ListParagraph"/>
              <w:numPr>
                <w:ilvl w:val="0"/>
                <w:numId w:val="2"/>
              </w:numPr>
              <w:spacing w:before="100" w:beforeAutospacing="1" w:after="100" w:afterAutospacing="1" w:line="240" w:lineRule="auto"/>
            </w:pPr>
            <w:r>
              <w:t>? Flex workshops on highlighting best practice</w:t>
            </w:r>
            <w:r w:rsidR="0045789A">
              <w:t xml:space="preserve"> - </w:t>
            </w:r>
            <w:r w:rsidR="0045789A">
              <w:rPr>
                <w:i/>
              </w:rPr>
              <w:t>defer</w:t>
            </w:r>
          </w:p>
          <w:p w:rsidR="008C3C9D" w:rsidRDefault="0045789A" w:rsidP="00FF1D3B">
            <w:pPr>
              <w:pStyle w:val="ListParagraph"/>
              <w:numPr>
                <w:ilvl w:val="0"/>
                <w:numId w:val="2"/>
              </w:numPr>
              <w:spacing w:line="240" w:lineRule="auto"/>
            </w:pPr>
            <w:r>
              <w:t xml:space="preserve">NEW ITEM – SLO CONFERENCE ON 2/3/16 </w:t>
            </w:r>
          </w:p>
          <w:p w:rsidR="00FF1D3B" w:rsidRDefault="0045789A" w:rsidP="00FF1D3B">
            <w:pPr>
              <w:spacing w:after="240" w:line="240" w:lineRule="auto"/>
              <w:ind w:left="720"/>
              <w:contextualSpacing/>
              <w:rPr>
                <w:i/>
                <w:color w:val="FF0000"/>
              </w:rPr>
            </w:pPr>
            <w:r w:rsidRPr="00FF1D3B">
              <w:rPr>
                <w:i/>
                <w:color w:val="FF0000"/>
              </w:rPr>
              <w:lastRenderedPageBreak/>
              <w:t xml:space="preserve">Email Kate &amp; Di if interested in attending, members who have gone, stated very helpful and </w:t>
            </w:r>
            <w:r w:rsidR="00FF1D3B" w:rsidRPr="00FF1D3B">
              <w:rPr>
                <w:i/>
                <w:color w:val="FF0000"/>
              </w:rPr>
              <w:t>learned a lot</w:t>
            </w:r>
            <w:r w:rsidR="00FF1D3B">
              <w:rPr>
                <w:i/>
                <w:color w:val="FF0000"/>
              </w:rPr>
              <w:t>, Assessment committee has some funds to cover attendance</w:t>
            </w:r>
            <w:r w:rsidR="00FF1D3B" w:rsidRPr="00FF1D3B">
              <w:rPr>
                <w:i/>
                <w:color w:val="FF0000"/>
              </w:rPr>
              <w:t xml:space="preserve"> - </w:t>
            </w:r>
            <w:hyperlink r:id="rId5" w:history="1">
              <w:r w:rsidR="00FF1D3B" w:rsidRPr="00CB3DA4">
                <w:rPr>
                  <w:rStyle w:val="Hyperlink"/>
                  <w:i/>
                </w:rPr>
                <w:t>http://asccc.org/events/2017-02-03-163000-2017-02-03-230000/student-learning-outcomes-slo-symposium</w:t>
              </w:r>
            </w:hyperlink>
          </w:p>
          <w:p w:rsidR="00FF1D3B" w:rsidRPr="00FF1D3B" w:rsidRDefault="00FF1D3B" w:rsidP="00FF1D3B">
            <w:pPr>
              <w:spacing w:after="240" w:line="240" w:lineRule="auto"/>
              <w:ind w:left="720"/>
              <w:contextualSpacing/>
              <w:rPr>
                <w:i/>
                <w:color w:val="FF0000"/>
              </w:rPr>
            </w:pP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r>
              <w:t>7</w:t>
            </w:r>
          </w:p>
        </w:tc>
        <w:tc>
          <w:tcPr>
            <w:tcW w:w="9900" w:type="dxa"/>
            <w:tcBorders>
              <w:right w:val="nil"/>
            </w:tcBorders>
          </w:tcPr>
          <w:p w:rsidR="008C3C9D" w:rsidRDefault="008C3C9D" w:rsidP="00FF1D3B">
            <w:pPr>
              <w:spacing w:before="100" w:beforeAutospacing="1" w:line="240" w:lineRule="auto"/>
              <w:contextualSpacing/>
            </w:pPr>
            <w:r>
              <w:t>Action Items for next meeting;</w:t>
            </w:r>
          </w:p>
          <w:p w:rsidR="008C3C9D" w:rsidRPr="003D4E03" w:rsidRDefault="008C3C9D" w:rsidP="00FF1D3B">
            <w:pPr>
              <w:pStyle w:val="ListParagraph"/>
              <w:numPr>
                <w:ilvl w:val="0"/>
                <w:numId w:val="6"/>
              </w:numPr>
              <w:spacing w:line="240" w:lineRule="auto"/>
            </w:pPr>
            <w:r>
              <w:t>Assessment information from Program Assessment – what to do with it</w:t>
            </w: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r w:rsidR="008C3C9D" w:rsidRPr="00E65219" w:rsidTr="00FF1D3B">
        <w:trPr>
          <w:jc w:val="center"/>
        </w:trPr>
        <w:tc>
          <w:tcPr>
            <w:tcW w:w="265" w:type="dxa"/>
          </w:tcPr>
          <w:p w:rsidR="008C3C9D" w:rsidRPr="00E65219" w:rsidRDefault="008C3C9D" w:rsidP="00FF1D3B">
            <w:pPr>
              <w:spacing w:before="100" w:beforeAutospacing="1" w:after="100" w:afterAutospacing="1" w:line="240" w:lineRule="auto"/>
              <w:jc w:val="center"/>
            </w:pPr>
          </w:p>
        </w:tc>
        <w:tc>
          <w:tcPr>
            <w:tcW w:w="9900" w:type="dxa"/>
            <w:tcBorders>
              <w:right w:val="nil"/>
            </w:tcBorders>
          </w:tcPr>
          <w:p w:rsidR="008C3C9D" w:rsidRDefault="008C3C9D" w:rsidP="00FF1D3B">
            <w:pPr>
              <w:spacing w:before="100" w:beforeAutospacing="1" w:after="100" w:afterAutospacing="1" w:line="240" w:lineRule="auto"/>
              <w:contextualSpacing/>
            </w:pPr>
            <w:r>
              <w:t>Next Meeting: October 7th, 2016 from 1030-1200 in Lev 40</w:t>
            </w:r>
          </w:p>
          <w:p w:rsidR="008C3C9D" w:rsidRPr="001C287D" w:rsidRDefault="008C3C9D" w:rsidP="00FF1D3B">
            <w:pPr>
              <w:spacing w:before="100" w:beforeAutospacing="1" w:after="100" w:afterAutospacing="1" w:line="240" w:lineRule="auto"/>
              <w:contextualSpacing/>
              <w:rPr>
                <w:i/>
              </w:rPr>
            </w:pPr>
            <w:r w:rsidRPr="001C287D">
              <w:rPr>
                <w:i/>
              </w:rPr>
              <w:t xml:space="preserve">     Snacks – Michelle Hart &amp; Lily Pimentel</w:t>
            </w:r>
          </w:p>
        </w:tc>
        <w:tc>
          <w:tcPr>
            <w:tcW w:w="270" w:type="dxa"/>
            <w:tcBorders>
              <w:left w:val="nil"/>
            </w:tcBorders>
          </w:tcPr>
          <w:p w:rsidR="008C3C9D" w:rsidRPr="00397C90" w:rsidRDefault="008C3C9D" w:rsidP="00FF1D3B">
            <w:pPr>
              <w:spacing w:before="100" w:beforeAutospacing="1" w:after="100" w:afterAutospacing="1" w:line="240" w:lineRule="auto"/>
              <w:jc w:val="center"/>
              <w:rPr>
                <w:sz w:val="20"/>
                <w:szCs w:val="20"/>
              </w:rPr>
            </w:pPr>
          </w:p>
        </w:tc>
      </w:tr>
    </w:tbl>
    <w:p w:rsidR="00F43653" w:rsidRDefault="00F43653" w:rsidP="007348E8">
      <w:pPr>
        <w:spacing w:after="200" w:line="276" w:lineRule="auto"/>
      </w:pPr>
    </w:p>
    <w:sectPr w:rsidR="00F43653" w:rsidSect="00FF1D3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54CF"/>
    <w:multiLevelType w:val="hybridMultilevel"/>
    <w:tmpl w:val="B35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5497"/>
    <w:multiLevelType w:val="hybridMultilevel"/>
    <w:tmpl w:val="62024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5" w15:restartNumberingAfterBreak="0">
    <w:nsid w:val="6C6F2680"/>
    <w:multiLevelType w:val="hybridMultilevel"/>
    <w:tmpl w:val="67E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E67"/>
    <w:rsid w:val="00065399"/>
    <w:rsid w:val="000F7B6A"/>
    <w:rsid w:val="001C287D"/>
    <w:rsid w:val="001D2385"/>
    <w:rsid w:val="001F186B"/>
    <w:rsid w:val="002242C1"/>
    <w:rsid w:val="002C484F"/>
    <w:rsid w:val="00397C90"/>
    <w:rsid w:val="003B0CE6"/>
    <w:rsid w:val="003D4E03"/>
    <w:rsid w:val="0045789A"/>
    <w:rsid w:val="00580332"/>
    <w:rsid w:val="00610060"/>
    <w:rsid w:val="00647BB3"/>
    <w:rsid w:val="00676D5D"/>
    <w:rsid w:val="00731ED9"/>
    <w:rsid w:val="007348E8"/>
    <w:rsid w:val="00894FC8"/>
    <w:rsid w:val="008974E0"/>
    <w:rsid w:val="008C3C9D"/>
    <w:rsid w:val="008F19CE"/>
    <w:rsid w:val="009B01CE"/>
    <w:rsid w:val="00A66552"/>
    <w:rsid w:val="00B00881"/>
    <w:rsid w:val="00CF1D8E"/>
    <w:rsid w:val="00F43653"/>
    <w:rsid w:val="00FB2096"/>
    <w:rsid w:val="00FB7189"/>
    <w:rsid w:val="00FF15BF"/>
    <w:rsid w:val="00FF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ccc.org/events/2017-02-03-163000-2017-02-03-230000/student-learning-outcomes-slo-sympos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2016-10-19T15:34:00Z</dcterms:created>
  <dcterms:modified xsi:type="dcterms:W3CDTF">2016-10-19T15:34:00Z</dcterms:modified>
</cp:coreProperties>
</file>