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2E5EAB4E" w14:textId="5E08EDB9" w:rsidR="00A11221" w:rsidRPr="00A80EB7" w:rsidRDefault="00A11221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Meeting Minutes</w:t>
      </w:r>
    </w:p>
    <w:p w14:paraId="6CC9675F" w14:textId="2EEB57D6" w:rsidR="00D84AB9" w:rsidRPr="00A80EB7" w:rsidRDefault="0050114E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April 14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AEBBF11" w:rsidR="00AD0C6F" w:rsidRPr="00A80EB7" w:rsidRDefault="00677573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6090A719" w:rsidR="00AD0C6F" w:rsidRPr="00A80EB7" w:rsidRDefault="00677573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5393199A" w:rsidR="00AD0C6F" w:rsidRPr="00745C4A" w:rsidRDefault="00677573" w:rsidP="00AD0C6F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X</w:t>
            </w: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4D4A1D75" w:rsidR="00991C0D" w:rsidRPr="00A80EB7" w:rsidRDefault="00677573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2F58FCA7" w:rsidR="00991C0D" w:rsidRPr="00A80EB7" w:rsidRDefault="00677573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03E162C5" w:rsidR="00991C0D" w:rsidRPr="00A80EB7" w:rsidRDefault="00677573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896D9B5" w:rsidR="00991C0D" w:rsidRPr="00A80EB7" w:rsidRDefault="00677573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4E2AF328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566A90D1" w:rsidR="008E4830" w:rsidRPr="00AD3F28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727BE847" w14:textId="7459947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5EB4957D" w:rsidR="008E4830" w:rsidRPr="00A80EB7" w:rsidRDefault="4AD1ED36" w:rsidP="008E4830">
            <w:r>
              <w:t>Patsy Ulloa</w:t>
            </w:r>
          </w:p>
        </w:tc>
        <w:tc>
          <w:tcPr>
            <w:tcW w:w="1525" w:type="dxa"/>
          </w:tcPr>
          <w:p w14:paraId="76931AAE" w14:textId="6D715168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8E4830" w:rsidRPr="003403A4" w:rsidRDefault="008E4830" w:rsidP="008E4830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60BF2FDA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8E4830" w:rsidRPr="00745C4A" w:rsidRDefault="008E4830" w:rsidP="008E483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8E4830" w:rsidRPr="00A80EB7" w:rsidRDefault="008E4830" w:rsidP="008E48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19BB4BC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2F4CFD11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37953970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72C9435E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8E4830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8E4830" w:rsidRPr="00745C4A" w:rsidRDefault="008E4830" w:rsidP="008E483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8E4830" w:rsidRPr="00745C4A" w:rsidRDefault="008E4830" w:rsidP="008E483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8E4830" w:rsidRPr="00745C4A" w:rsidRDefault="008E4830" w:rsidP="008E48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8E4830" w:rsidRPr="00A80EB7" w:rsidRDefault="008E4830" w:rsidP="008E483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8E4830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8E4830" w:rsidRPr="00A80EB7" w:rsidRDefault="008E4830" w:rsidP="008E483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8E4830" w:rsidRPr="00745C4A" w:rsidRDefault="008E4830" w:rsidP="008E483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 w:rsidR="00D4738E"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2E2A6A81" w:rsidR="008E4830" w:rsidRPr="00A80EB7" w:rsidRDefault="00677573" w:rsidP="008E4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D4738E" w:rsidRPr="00A80EB7" w:rsidRDefault="00D4738E" w:rsidP="00D4738E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2C44AC5C" w:rsidR="00D4738E" w:rsidRPr="00A80EB7" w:rsidRDefault="00677573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07C20C3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D4738E" w:rsidRPr="00745C4A" w:rsidRDefault="00D4738E" w:rsidP="00D4738E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D4738E" w:rsidRPr="002440C5" w:rsidRDefault="00D4738E" w:rsidP="00D473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D4738E" w:rsidRPr="00A80EB7" w:rsidRDefault="00D4738E" w:rsidP="00D4738E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D4738E" w:rsidRPr="00A80EB7" w:rsidRDefault="00D4738E" w:rsidP="00D4738E">
            <w:pPr>
              <w:rPr>
                <w:rFonts w:cstheme="minorHAnsi"/>
              </w:rPr>
            </w:pPr>
          </w:p>
        </w:tc>
      </w:tr>
      <w:tr w:rsidR="00D4738E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D4738E" w:rsidRPr="00745C4A" w:rsidRDefault="00D4738E" w:rsidP="00D4738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D4738E" w:rsidRPr="00745C4A" w:rsidRDefault="00D4738E" w:rsidP="00D4738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D4738E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lastRenderedPageBreak/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A9B9D20" w:rsidR="00D4738E" w:rsidRPr="00A80EB7" w:rsidRDefault="00677573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D4738E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D4738E" w:rsidRPr="00A80EB7" w:rsidRDefault="00D4738E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D4738E" w:rsidRPr="00A80EB7" w:rsidRDefault="00D4738E" w:rsidP="00D473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38E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38E" w:rsidRPr="00A80EB7" w:rsidRDefault="00D4738E" w:rsidP="00D473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768EE835" w:rsidR="00D4738E" w:rsidRPr="00A80EB7" w:rsidRDefault="00677573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Ginger Le Blanc</w:t>
            </w:r>
          </w:p>
        </w:tc>
        <w:tc>
          <w:tcPr>
            <w:tcW w:w="3780" w:type="dxa"/>
            <w:vAlign w:val="center"/>
          </w:tcPr>
          <w:p w14:paraId="5EAAA966" w14:textId="5142850E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  <w:tr w:rsidR="00D4738E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5CF32564" w:rsidR="00D4738E" w:rsidRPr="00A80EB7" w:rsidRDefault="00677573" w:rsidP="00D4738E">
            <w:pPr>
              <w:rPr>
                <w:rFonts w:cstheme="minorHAnsi"/>
              </w:rPr>
            </w:pPr>
            <w:r>
              <w:rPr>
                <w:rFonts w:cstheme="minorHAnsi"/>
              </w:rPr>
              <w:t>RSI Reviewers</w:t>
            </w:r>
          </w:p>
        </w:tc>
        <w:tc>
          <w:tcPr>
            <w:tcW w:w="3780" w:type="dxa"/>
            <w:vAlign w:val="center"/>
          </w:tcPr>
          <w:p w14:paraId="4BA3F5BB" w14:textId="5899DE9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38E" w:rsidRPr="00A80EB7" w:rsidRDefault="00D4738E" w:rsidP="00D4738E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p w14:paraId="15F33208" w14:textId="42687007" w:rsidR="00677573" w:rsidRPr="00A80EB7" w:rsidRDefault="00677573" w:rsidP="00A317C1">
      <w:pPr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Meeting started at 3:03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50774B74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425C55F8" w:rsidR="00143EB7" w:rsidRPr="000D1154" w:rsidRDefault="00086EF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Public Comment Period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62C0113D" w:rsidR="00143EB7" w:rsidRPr="00A80EB7" w:rsidRDefault="00AE35B5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E40647"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143EB7" w:rsidRPr="00A80EB7" w14:paraId="05B5BDFB" w14:textId="77777777" w:rsidTr="50774B74">
        <w:tc>
          <w:tcPr>
            <w:tcW w:w="8845" w:type="dxa"/>
            <w:gridSpan w:val="3"/>
          </w:tcPr>
          <w:p w14:paraId="12DA1581" w14:textId="77777777" w:rsidR="00805945" w:rsidRDefault="00357420" w:rsidP="0080594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35742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357420">
              <w:rPr>
                <w:rFonts w:cstheme="minorHAnsi"/>
                <w:sz w:val="24"/>
                <w:szCs w:val="24"/>
              </w:rPr>
              <w:t>ublic comment period will be held during the </w:t>
            </w:r>
            <w:r w:rsidRPr="00357420">
              <w:rPr>
                <w:rFonts w:cstheme="minorHAnsi"/>
                <w:b/>
                <w:bCs/>
                <w:sz w:val="24"/>
                <w:szCs w:val="24"/>
              </w:rPr>
              <w:t>first 30 minutes of the meeting, from 3:00 p.m. to 3:30 p.m.</w:t>
            </w:r>
            <w:r w:rsidRPr="00357420">
              <w:rPr>
                <w:rFonts w:cstheme="minorHAnsi"/>
                <w:sz w:val="24"/>
                <w:szCs w:val="24"/>
              </w:rPr>
              <w:t> This session will function similarly to Academic Senate public comments. Speakers will be allotted </w:t>
            </w:r>
            <w:r w:rsidRPr="00357420">
              <w:rPr>
                <w:rFonts w:cstheme="minorHAnsi"/>
                <w:b/>
                <w:bCs/>
                <w:sz w:val="24"/>
                <w:szCs w:val="24"/>
              </w:rPr>
              <w:t>no more than two (2) minutes each</w:t>
            </w:r>
            <w:r w:rsidRPr="00357420">
              <w:rPr>
                <w:rFonts w:cstheme="minorHAnsi"/>
                <w:sz w:val="24"/>
                <w:szCs w:val="24"/>
              </w:rPr>
              <w:t>, as time permits.</w:t>
            </w:r>
          </w:p>
          <w:p w14:paraId="644EE635" w14:textId="77777777" w:rsidR="00805945" w:rsidRDefault="00805945" w:rsidP="0080594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Public comment was moved to </w:t>
            </w:r>
            <w:r>
              <w:rPr>
                <w:rFonts w:cstheme="minorHAnsi"/>
                <w:sz w:val="24"/>
                <w:szCs w:val="24"/>
              </w:rPr>
              <w:t>later in</w:t>
            </w:r>
            <w:r w:rsidRPr="00805945">
              <w:rPr>
                <w:rFonts w:cstheme="minorHAnsi"/>
                <w:sz w:val="24"/>
                <w:szCs w:val="24"/>
              </w:rPr>
              <w:t xml:space="preserve"> the meeting.</w:t>
            </w:r>
          </w:p>
          <w:p w14:paraId="11E6A46A" w14:textId="57549E6F" w:rsidR="00805945" w:rsidRPr="00805945" w:rsidRDefault="00805945" w:rsidP="0080594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No public comments.</w:t>
            </w:r>
          </w:p>
          <w:p w14:paraId="329E7412" w14:textId="36BDCE71" w:rsidR="00143EB7" w:rsidRPr="0065721A" w:rsidRDefault="00143EB7" w:rsidP="00EF783C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4905E514" w:rsidR="00143EB7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4EEC8D0F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C3497C" w:rsidRPr="00A80EB7" w14:paraId="03579FBC" w14:textId="77777777" w:rsidTr="00AE35B5">
        <w:tc>
          <w:tcPr>
            <w:tcW w:w="8845" w:type="dxa"/>
            <w:gridSpan w:val="3"/>
          </w:tcPr>
          <w:p w14:paraId="65610A4C" w14:textId="32A3235B" w:rsidR="00C3497C" w:rsidRDefault="00CA0F33" w:rsidP="0067757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Unapproved</w:t>
            </w:r>
            <w:r w:rsidR="00761111">
              <w:rPr>
                <w:rFonts w:cstheme="minorHAnsi"/>
                <w:sz w:val="24"/>
                <w:szCs w:val="24"/>
              </w:rPr>
              <w:t xml:space="preserve"> Minutes 03.</w:t>
            </w:r>
            <w:r>
              <w:rPr>
                <w:rFonts w:cstheme="minorHAnsi"/>
                <w:sz w:val="24"/>
                <w:szCs w:val="24"/>
              </w:rPr>
              <w:t>24.2026</w:t>
            </w:r>
          </w:p>
          <w:p w14:paraId="5C1C36D1" w14:textId="77777777" w:rsidR="00805945" w:rsidRPr="00805945" w:rsidRDefault="00805945" w:rsidP="0080594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Kim Nickel motioned to approve; Kristen Rabe seconded. Leo abstained.</w:t>
            </w:r>
          </w:p>
          <w:p w14:paraId="6DE8E789" w14:textId="38883313" w:rsidR="002776C7" w:rsidRPr="002776C7" w:rsidRDefault="00805945" w:rsidP="0080594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Motion </w:t>
            </w:r>
            <w:proofErr w:type="spellStart"/>
            <w:r w:rsidRPr="00805945">
              <w:rPr>
                <w:rFonts w:cstheme="minorHAnsi"/>
                <w:sz w:val="24"/>
                <w:szCs w:val="24"/>
              </w:rPr>
              <w:t>approved.</w:t>
            </w:r>
            <w:r w:rsidR="002776C7" w:rsidRPr="002776C7">
              <w:rPr>
                <w:rFonts w:cstheme="minorHAnsi"/>
                <w:sz w:val="24"/>
                <w:szCs w:val="24"/>
              </w:rPr>
              <w:t>B</w:t>
            </w:r>
            <w:proofErr w:type="spellEnd"/>
            <w:r w:rsidR="002776C7" w:rsidRPr="002776C7">
              <w:rPr>
                <w:rFonts w:cstheme="minorHAnsi"/>
                <w:sz w:val="24"/>
                <w:szCs w:val="24"/>
              </w:rPr>
              <w:t>.</w:t>
            </w:r>
            <w:r w:rsidR="00CA0F33">
              <w:rPr>
                <w:rFonts w:cstheme="minorHAnsi"/>
                <w:sz w:val="24"/>
                <w:szCs w:val="24"/>
              </w:rPr>
              <w:t xml:space="preserve"> Notes- </w:t>
            </w:r>
            <w:r w:rsidR="00424D45">
              <w:rPr>
                <w:rFonts w:cstheme="minorHAnsi"/>
                <w:sz w:val="24"/>
                <w:szCs w:val="24"/>
              </w:rPr>
              <w:t>Talita P</w:t>
            </w:r>
          </w:p>
        </w:tc>
        <w:tc>
          <w:tcPr>
            <w:tcW w:w="1320" w:type="dxa"/>
          </w:tcPr>
          <w:p w14:paraId="1B075514" w14:textId="77777777" w:rsidR="00C3497C" w:rsidRDefault="00C3497C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3497C" w:rsidRPr="00A80EB7" w14:paraId="0569B327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509C4692" w14:textId="6AB7B5D4" w:rsidR="00C3497C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Chairs Report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4C3A6A" w14:textId="05687775" w:rsidR="00C3497C" w:rsidRDefault="008309DD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3C12B5" w:rsidRPr="00A80EB7" w14:paraId="451B946E" w14:textId="77777777" w:rsidTr="50774B74">
        <w:tc>
          <w:tcPr>
            <w:tcW w:w="8845" w:type="dxa"/>
            <w:gridSpan w:val="3"/>
          </w:tcPr>
          <w:p w14:paraId="40F01408" w14:textId="6D915BC6" w:rsidR="003403A4" w:rsidRDefault="00805945" w:rsidP="00805945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Grace thanked the Office of Institutional Effectiveness. Patsy has been working to implement changes</w:t>
            </w:r>
            <w:r>
              <w:rPr>
                <w:rFonts w:cstheme="minorHAnsi"/>
                <w:sz w:val="24"/>
                <w:szCs w:val="24"/>
              </w:rPr>
              <w:t xml:space="preserve"> to the RSI evaluation tool</w:t>
            </w:r>
            <w:r w:rsidRPr="00805945">
              <w:rPr>
                <w:rFonts w:cstheme="minorHAnsi"/>
                <w:sz w:val="24"/>
                <w:szCs w:val="24"/>
              </w:rPr>
              <w:t>, and results are now being sent individually to faculty; the format is cleaner and easier to follow.</w:t>
            </w:r>
          </w:p>
          <w:p w14:paraId="552D4D76" w14:textId="5D6AA323" w:rsidR="00A745BB" w:rsidRPr="00805945" w:rsidRDefault="00A745BB" w:rsidP="00805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50774B74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EC73" w14:textId="5E9447A3" w:rsidR="002C22E5" w:rsidRPr="00805945" w:rsidRDefault="003C12B5" w:rsidP="008059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5945">
              <w:rPr>
                <w:rFonts w:cstheme="minorHAnsi"/>
                <w:b/>
                <w:bCs/>
                <w:sz w:val="24"/>
                <w:szCs w:val="24"/>
              </w:rPr>
              <w:t>Program Review Report (Nickell</w:t>
            </w:r>
            <w:r w:rsidR="00A55975" w:rsidRPr="00805945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011A5D19" w14:textId="74EE31A2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Kim expressed gratitude to PR committee members and the Office of Institutional Effectiveness for supporting the Qualtrics Resource Request Survey.</w:t>
            </w:r>
          </w:p>
          <w:p w14:paraId="6B7240F3" w14:textId="0212BAA7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Faculty will receive an annual update with three questions, a Program Analysis snapshot, and Program Goals. These may be shared with collaborators before submitting final document to PR.</w:t>
            </w:r>
          </w:p>
          <w:p w14:paraId="1932A550" w14:textId="77777777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A resource request template will be provided; responses will be copied and </w:t>
            </w:r>
            <w:proofErr w:type="gramStart"/>
            <w:r w:rsidRPr="00805945">
              <w:rPr>
                <w:rFonts w:cstheme="minorHAnsi"/>
                <w:sz w:val="24"/>
                <w:szCs w:val="24"/>
              </w:rPr>
              <w:t>pasted</w:t>
            </w:r>
            <w:proofErr w:type="gramEnd"/>
            <w:r w:rsidRPr="00805945">
              <w:rPr>
                <w:rFonts w:cstheme="minorHAnsi"/>
                <w:sz w:val="24"/>
                <w:szCs w:val="24"/>
              </w:rPr>
              <w:t xml:space="preserve"> into Qualtrics.</w:t>
            </w:r>
          </w:p>
          <w:p w14:paraId="46FCB6D1" w14:textId="77777777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PR will begin distribution on Thursday (4/16).</w:t>
            </w:r>
          </w:p>
          <w:p w14:paraId="67FE5813" w14:textId="77777777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Workshops, </w:t>
            </w:r>
            <w:proofErr w:type="gramStart"/>
            <w:r w:rsidRPr="00805945">
              <w:rPr>
                <w:rFonts w:cstheme="minorHAnsi"/>
                <w:sz w:val="24"/>
                <w:szCs w:val="24"/>
              </w:rPr>
              <w:t>Zoom</w:t>
            </w:r>
            <w:proofErr w:type="gramEnd"/>
            <w:r w:rsidRPr="00805945">
              <w:rPr>
                <w:rFonts w:cstheme="minorHAnsi"/>
                <w:sz w:val="24"/>
                <w:szCs w:val="24"/>
              </w:rPr>
              <w:t xml:space="preserve"> drop-in sessions, and a handbook will still be available.</w:t>
            </w:r>
          </w:p>
          <w:p w14:paraId="2385BD2D" w14:textId="77777777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Deadlines updated: 8/31 for resource requests and 10/31 for the remainder of Program Review.</w:t>
            </w:r>
          </w:p>
          <w:p w14:paraId="3716B0EF" w14:textId="5CB72CE1" w:rsidR="00805945" w:rsidRPr="00805945" w:rsidRDefault="00805945" w:rsidP="0080594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Access to previous Program Reviews will remain available via SharePoint.</w:t>
            </w:r>
          </w:p>
          <w:p w14:paraId="1B1AA720" w14:textId="77777777" w:rsidR="00805945" w:rsidRDefault="00805945" w:rsidP="002C22E5">
            <w:pPr>
              <w:rPr>
                <w:rFonts w:cstheme="minorHAnsi"/>
                <w:sz w:val="24"/>
                <w:szCs w:val="24"/>
              </w:rPr>
            </w:pPr>
          </w:p>
          <w:p w14:paraId="18C5AA60" w14:textId="77777777" w:rsidR="00805945" w:rsidRDefault="00805945" w:rsidP="002C22E5">
            <w:pPr>
              <w:rPr>
                <w:rFonts w:cstheme="minorHAnsi"/>
                <w:sz w:val="24"/>
                <w:szCs w:val="24"/>
              </w:rPr>
            </w:pPr>
          </w:p>
          <w:p w14:paraId="55E571CC" w14:textId="5927315E" w:rsidR="00805945" w:rsidRPr="002C22E5" w:rsidRDefault="00805945" w:rsidP="002C22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Pr="00805945" w:rsidRDefault="007E1C23" w:rsidP="008059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5945">
              <w:rPr>
                <w:rFonts w:cstheme="minorHAnsi"/>
                <w:b/>
                <w:bCs/>
                <w:sz w:val="24"/>
                <w:szCs w:val="24"/>
              </w:rPr>
              <w:t>Assessment Report (Garza)</w:t>
            </w:r>
            <w:r w:rsidR="00890424" w:rsidRPr="0080594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4F15321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It is assessment season for all faculty.</w:t>
            </w:r>
          </w:p>
          <w:p w14:paraId="390EB8FC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The assessment process will continue through </w:t>
            </w:r>
            <w:proofErr w:type="spellStart"/>
            <w:r w:rsidRPr="00805945">
              <w:rPr>
                <w:rFonts w:cstheme="minorHAnsi"/>
                <w:sz w:val="24"/>
                <w:szCs w:val="24"/>
              </w:rPr>
              <w:t>eLumen</w:t>
            </w:r>
            <w:proofErr w:type="spellEnd"/>
            <w:r w:rsidRPr="00805945">
              <w:rPr>
                <w:rFonts w:cstheme="minorHAnsi"/>
                <w:sz w:val="24"/>
                <w:szCs w:val="24"/>
              </w:rPr>
              <w:t>.</w:t>
            </w:r>
          </w:p>
          <w:p w14:paraId="04DB6488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Process should be completed by June 1.</w:t>
            </w:r>
          </w:p>
          <w:p w14:paraId="6FAC65BB" w14:textId="2C15619C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 xml:space="preserve">Departments without a representative should contact Ricardo for support; </w:t>
            </w:r>
            <w:r>
              <w:rPr>
                <w:rFonts w:cstheme="minorHAnsi"/>
                <w:sz w:val="24"/>
                <w:szCs w:val="24"/>
              </w:rPr>
              <w:t xml:space="preserve">There will be </w:t>
            </w:r>
            <w:r w:rsidRPr="00805945">
              <w:rPr>
                <w:rFonts w:cstheme="minorHAnsi"/>
                <w:sz w:val="24"/>
                <w:szCs w:val="24"/>
              </w:rPr>
              <w:t xml:space="preserve">Zoom sessions, and assessment data will be </w:t>
            </w:r>
            <w:r>
              <w:rPr>
                <w:rFonts w:cstheme="minorHAnsi"/>
                <w:sz w:val="24"/>
                <w:szCs w:val="24"/>
              </w:rPr>
              <w:t xml:space="preserve">downloaded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availabe</w:t>
            </w:r>
            <w:proofErr w:type="spellEnd"/>
          </w:p>
          <w:p w14:paraId="43C7BD35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Jessica attended a conference, shared concerns about Insights, and will be meeting with them soon.</w:t>
            </w:r>
          </w:p>
          <w:p w14:paraId="60B260E9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Question raised regarding whether departments should assess multiple SLOs per semester or just one; this is determined at the department level. Some departments assess all SLOs.</w:t>
            </w:r>
          </w:p>
          <w:p w14:paraId="363CAF80" w14:textId="77777777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Common Course Numbering is currently on hold due to UC and CSU articulation work.</w:t>
            </w:r>
          </w:p>
          <w:p w14:paraId="5D551A7C" w14:textId="723426E6" w:rsidR="00805945" w:rsidRPr="00805945" w:rsidRDefault="00805945" w:rsidP="0080594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805945">
              <w:rPr>
                <w:rFonts w:cstheme="minorHAnsi"/>
                <w:sz w:val="24"/>
                <w:szCs w:val="24"/>
              </w:rPr>
              <w:t>Discussion of rumors regarding individual assessment; ACCJC does not require this</w:t>
            </w:r>
            <w:r w:rsidR="00A11221">
              <w:rPr>
                <w:rFonts w:cstheme="minorHAnsi"/>
                <w:sz w:val="24"/>
                <w:szCs w:val="24"/>
              </w:rPr>
              <w:t xml:space="preserve">, </w:t>
            </w:r>
            <w:r w:rsidRPr="00805945">
              <w:rPr>
                <w:rFonts w:cstheme="minorHAnsi"/>
                <w:sz w:val="24"/>
                <w:szCs w:val="24"/>
              </w:rPr>
              <w:t>it is up to the college.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50774B74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7010BC2B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3403A4" w14:paraId="31A1A01C" w14:textId="77777777" w:rsidTr="50774B74">
        <w:tc>
          <w:tcPr>
            <w:tcW w:w="8845" w:type="dxa"/>
            <w:gridSpan w:val="3"/>
          </w:tcPr>
          <w:p w14:paraId="54FD45CC" w14:textId="77777777" w:rsidR="00A55975" w:rsidRDefault="008B7E8C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ISS Review</w:t>
            </w:r>
          </w:p>
          <w:p w14:paraId="2910575B" w14:textId="77777777" w:rsidR="00A11221" w:rsidRDefault="00EE636E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ISS </w:t>
            </w:r>
            <w:proofErr w:type="gramStart"/>
            <w:r>
              <w:rPr>
                <w:rFonts w:cstheme="minorHAnsi"/>
                <w:sz w:val="24"/>
                <w:szCs w:val="24"/>
              </w:rPr>
              <w:t>are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requirement from ACCJC</w:t>
            </w:r>
            <w:r w:rsidR="00A11221">
              <w:rPr>
                <w:rFonts w:cstheme="minorHAnsi"/>
                <w:sz w:val="24"/>
                <w:szCs w:val="24"/>
              </w:rPr>
              <w:t>.</w:t>
            </w:r>
            <w:r w:rsidR="00A11221" w:rsidRPr="00A11221">
              <w:t xml:space="preserve"> </w:t>
            </w:r>
            <w:r w:rsidR="00A11221" w:rsidRPr="00A11221">
              <w:rPr>
                <w:rFonts w:cstheme="minorHAnsi"/>
                <w:sz w:val="24"/>
                <w:szCs w:val="24"/>
              </w:rPr>
              <w:t>AIQ develops methods and reviews data. When metrics fall below the floor, AIQ provides recommendations.</w:t>
            </w:r>
          </w:p>
          <w:p w14:paraId="44EB7287" w14:textId="77777777" w:rsidR="00A11221" w:rsidRDefault="00A11221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11221">
              <w:rPr>
                <w:rFonts w:cstheme="minorHAnsi"/>
                <w:sz w:val="24"/>
                <w:szCs w:val="24"/>
              </w:rPr>
              <w:t>Overall trends are positive, with some metrics above goal, including transfer English and Math, online/hybrid and face-to-face student success, and outcomes.</w:t>
            </w:r>
          </w:p>
          <w:p w14:paraId="43AFE1C8" w14:textId="75BA254F" w:rsidR="00EE636E" w:rsidRPr="00A55975" w:rsidRDefault="00A11221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A11221">
              <w:rPr>
                <w:rFonts w:cstheme="minorHAnsi"/>
                <w:sz w:val="24"/>
                <w:szCs w:val="24"/>
              </w:rPr>
              <w:t>Further discussion on potential metric changes will be deferred to next year.</w:t>
            </w: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1F93BA7D" w:rsidR="003C12B5" w:rsidRDefault="006562C5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8E4830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655A0657" w14:textId="77777777" w:rsidTr="50774B74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D7DC843" w14:textId="6F595B16" w:rsidR="00CD3192" w:rsidRDefault="12A103D8" w:rsidP="00CD319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50774B74">
              <w:rPr>
                <w:sz w:val="24"/>
                <w:szCs w:val="24"/>
              </w:rPr>
              <w:t xml:space="preserve">RSI </w:t>
            </w:r>
            <w:r w:rsidR="005C3615">
              <w:rPr>
                <w:sz w:val="24"/>
                <w:szCs w:val="24"/>
              </w:rPr>
              <w:t xml:space="preserve">Review </w:t>
            </w:r>
            <w:r w:rsidRPr="50774B74">
              <w:rPr>
                <w:sz w:val="24"/>
                <w:szCs w:val="24"/>
              </w:rPr>
              <w:t>(Grace)</w:t>
            </w:r>
          </w:p>
          <w:p w14:paraId="44A18010" w14:textId="77777777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As of Thursday morning, 540 courses had been reviewed; nearly 100 more have since been added, totaling approximately 625. About 31% are passing, and 68% have not met the standard (excluding cross-listed courses). </w:t>
            </w:r>
          </w:p>
          <w:p w14:paraId="02BABB62" w14:textId="77777777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Training was held last Friday with approximately 18 participants (2 new). Five additional reviewers are joining this week, and </w:t>
            </w:r>
            <w:proofErr w:type="gramStart"/>
            <w:r w:rsidRPr="00A11221">
              <w:rPr>
                <w:sz w:val="24"/>
                <w:szCs w:val="24"/>
              </w:rPr>
              <w:t>an online</w:t>
            </w:r>
            <w:proofErr w:type="gramEnd"/>
            <w:r w:rsidRPr="00A11221">
              <w:rPr>
                <w:sz w:val="24"/>
                <w:szCs w:val="24"/>
              </w:rPr>
              <w:t xml:space="preserve"> training will be offered. There are currently 49 trained reviewers and 11 awaiting training. </w:t>
            </w:r>
          </w:p>
          <w:p w14:paraId="50B362B6" w14:textId="77777777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Discussion regarding adding a comment dropdown; concern noted due to course variability. </w:t>
            </w:r>
          </w:p>
          <w:p w14:paraId="0CDEBE3C" w14:textId="77777777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Christie Howell noted reviewer errors; after consultation with Alex and Matt, some courses may be moved from “do not pass” to “pass.” </w:t>
            </w:r>
          </w:p>
          <w:p w14:paraId="5834AD4E" w14:textId="77777777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Alex reported that faculty she has met with are motivated to meet standards. </w:t>
            </w:r>
          </w:p>
          <w:p w14:paraId="77E97B4C" w14:textId="77344640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t xml:space="preserve">Question raised about </w:t>
            </w:r>
            <w:proofErr w:type="gramStart"/>
            <w:r w:rsidRPr="00A11221">
              <w:rPr>
                <w:sz w:val="24"/>
                <w:szCs w:val="24"/>
              </w:rPr>
              <w:t>reply</w:t>
            </w:r>
            <w:proofErr w:type="gramEnd"/>
            <w:r w:rsidRPr="00A11221">
              <w:rPr>
                <w:sz w:val="24"/>
                <w:szCs w:val="24"/>
              </w:rPr>
              <w:t xml:space="preserve"> functionality after course conclusion; </w:t>
            </w:r>
          </w:p>
          <w:p w14:paraId="532C1D60" w14:textId="6E5D0C80" w:rsidR="00A11221" w:rsidRPr="00A11221" w:rsidRDefault="00A11221" w:rsidP="00A11221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A11221">
              <w:rPr>
                <w:sz w:val="24"/>
                <w:szCs w:val="24"/>
              </w:rPr>
              <w:lastRenderedPageBreak/>
              <w:t xml:space="preserve">Alex posted a Welcome module and notes for RSI reviewers. See Communication Plan for examples. </w:t>
            </w:r>
          </w:p>
          <w:p w14:paraId="22638429" w14:textId="77777777" w:rsidR="00A11221" w:rsidRPr="00A11221" w:rsidRDefault="00A11221" w:rsidP="00A11221">
            <w:pPr>
              <w:pStyle w:val="ListParagraph"/>
              <w:ind w:left="1800"/>
              <w:rPr>
                <w:sz w:val="24"/>
                <w:szCs w:val="24"/>
              </w:rPr>
            </w:pPr>
          </w:p>
          <w:p w14:paraId="22EEC62C" w14:textId="77777777" w:rsidR="00CD3192" w:rsidRDefault="00CD3192" w:rsidP="00CD3192">
            <w:pPr>
              <w:rPr>
                <w:sz w:val="24"/>
                <w:szCs w:val="24"/>
              </w:rPr>
            </w:pPr>
          </w:p>
          <w:p w14:paraId="0B5DE2E9" w14:textId="5EE55774" w:rsidR="00CD3192" w:rsidRPr="00CD3192" w:rsidRDefault="00CD3192" w:rsidP="00CD3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Adjourned 4</w:t>
            </w:r>
            <w:r w:rsidR="00A1122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50774B74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50774B74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04BB1885" w:rsidR="003C12B5" w:rsidRPr="00A80EB7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6D2"/>
    <w:multiLevelType w:val="hybridMultilevel"/>
    <w:tmpl w:val="5986C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211CB2"/>
    <w:multiLevelType w:val="hybridMultilevel"/>
    <w:tmpl w:val="2A22C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3448CD"/>
    <w:multiLevelType w:val="hybridMultilevel"/>
    <w:tmpl w:val="2D26850A"/>
    <w:lvl w:ilvl="0" w:tplc="0EA4F4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71FFD"/>
    <w:multiLevelType w:val="hybridMultilevel"/>
    <w:tmpl w:val="ABE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79CE1F39"/>
    <w:multiLevelType w:val="hybridMultilevel"/>
    <w:tmpl w:val="F558E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9"/>
  </w:num>
  <w:num w:numId="2" w16cid:durableId="417210842">
    <w:abstractNumId w:val="10"/>
  </w:num>
  <w:num w:numId="3" w16cid:durableId="1919516026">
    <w:abstractNumId w:val="1"/>
  </w:num>
  <w:num w:numId="4" w16cid:durableId="706835791">
    <w:abstractNumId w:val="13"/>
  </w:num>
  <w:num w:numId="5" w16cid:durableId="865487017">
    <w:abstractNumId w:val="5"/>
  </w:num>
  <w:num w:numId="6" w16cid:durableId="144007517">
    <w:abstractNumId w:val="15"/>
  </w:num>
  <w:num w:numId="7" w16cid:durableId="1022438752">
    <w:abstractNumId w:val="12"/>
  </w:num>
  <w:num w:numId="8" w16cid:durableId="1354501253">
    <w:abstractNumId w:val="9"/>
  </w:num>
  <w:num w:numId="9" w16cid:durableId="230622226">
    <w:abstractNumId w:val="11"/>
  </w:num>
  <w:num w:numId="10" w16cid:durableId="423961027">
    <w:abstractNumId w:val="16"/>
  </w:num>
  <w:num w:numId="11" w16cid:durableId="719598465">
    <w:abstractNumId w:val="6"/>
  </w:num>
  <w:num w:numId="12" w16cid:durableId="194006782">
    <w:abstractNumId w:val="2"/>
  </w:num>
  <w:num w:numId="13" w16cid:durableId="971978603">
    <w:abstractNumId w:val="17"/>
  </w:num>
  <w:num w:numId="14" w16cid:durableId="736780796">
    <w:abstractNumId w:val="14"/>
  </w:num>
  <w:num w:numId="15" w16cid:durableId="375281290">
    <w:abstractNumId w:val="8"/>
  </w:num>
  <w:num w:numId="16" w16cid:durableId="1973750992">
    <w:abstractNumId w:val="0"/>
  </w:num>
  <w:num w:numId="17" w16cid:durableId="201410124">
    <w:abstractNumId w:val="4"/>
  </w:num>
  <w:num w:numId="18" w16cid:durableId="1228951209">
    <w:abstractNumId w:val="18"/>
  </w:num>
  <w:num w:numId="19" w16cid:durableId="776632803">
    <w:abstractNumId w:val="7"/>
  </w:num>
  <w:num w:numId="20" w16cid:durableId="2556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3276B"/>
    <w:rsid w:val="0003375B"/>
    <w:rsid w:val="00037DC5"/>
    <w:rsid w:val="00041B16"/>
    <w:rsid w:val="000433CC"/>
    <w:rsid w:val="00043471"/>
    <w:rsid w:val="00052BF0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86EF4"/>
    <w:rsid w:val="000930E7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509"/>
    <w:rsid w:val="001D6EF8"/>
    <w:rsid w:val="001D7723"/>
    <w:rsid w:val="001E3C5E"/>
    <w:rsid w:val="001F308B"/>
    <w:rsid w:val="001F6789"/>
    <w:rsid w:val="001F6948"/>
    <w:rsid w:val="0021389A"/>
    <w:rsid w:val="00215E86"/>
    <w:rsid w:val="00221BBF"/>
    <w:rsid w:val="00221E65"/>
    <w:rsid w:val="00224E8C"/>
    <w:rsid w:val="002326AC"/>
    <w:rsid w:val="002436BA"/>
    <w:rsid w:val="002440C5"/>
    <w:rsid w:val="002464EC"/>
    <w:rsid w:val="00247537"/>
    <w:rsid w:val="00265939"/>
    <w:rsid w:val="00267539"/>
    <w:rsid w:val="002776C7"/>
    <w:rsid w:val="00293509"/>
    <w:rsid w:val="002A7CCA"/>
    <w:rsid w:val="002B54E8"/>
    <w:rsid w:val="002C22E5"/>
    <w:rsid w:val="002C7D1F"/>
    <w:rsid w:val="002D07CF"/>
    <w:rsid w:val="002D1ECE"/>
    <w:rsid w:val="002D4953"/>
    <w:rsid w:val="002D53CA"/>
    <w:rsid w:val="002E1BB5"/>
    <w:rsid w:val="002F2F04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57420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24D45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114E"/>
    <w:rsid w:val="005056C1"/>
    <w:rsid w:val="005065FD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93B9A"/>
    <w:rsid w:val="005A2394"/>
    <w:rsid w:val="005A69E6"/>
    <w:rsid w:val="005A7E0B"/>
    <w:rsid w:val="005B33AB"/>
    <w:rsid w:val="005C3615"/>
    <w:rsid w:val="005D66EC"/>
    <w:rsid w:val="005D74DE"/>
    <w:rsid w:val="005D7FAF"/>
    <w:rsid w:val="005E3A24"/>
    <w:rsid w:val="005F593D"/>
    <w:rsid w:val="006021F2"/>
    <w:rsid w:val="006176DC"/>
    <w:rsid w:val="0062079D"/>
    <w:rsid w:val="006208B9"/>
    <w:rsid w:val="006216F9"/>
    <w:rsid w:val="00624624"/>
    <w:rsid w:val="0062697A"/>
    <w:rsid w:val="00634DB3"/>
    <w:rsid w:val="00637D7D"/>
    <w:rsid w:val="00647BC8"/>
    <w:rsid w:val="0065130F"/>
    <w:rsid w:val="006562C5"/>
    <w:rsid w:val="0065721A"/>
    <w:rsid w:val="00660C2F"/>
    <w:rsid w:val="00673909"/>
    <w:rsid w:val="00677573"/>
    <w:rsid w:val="006875EA"/>
    <w:rsid w:val="00691534"/>
    <w:rsid w:val="00694DB2"/>
    <w:rsid w:val="006A1A59"/>
    <w:rsid w:val="006A2479"/>
    <w:rsid w:val="006A43C8"/>
    <w:rsid w:val="006A565B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5795"/>
    <w:rsid w:val="007574A0"/>
    <w:rsid w:val="00761111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05945"/>
    <w:rsid w:val="00813E9D"/>
    <w:rsid w:val="00814FBD"/>
    <w:rsid w:val="0081536C"/>
    <w:rsid w:val="008278D8"/>
    <w:rsid w:val="008309DD"/>
    <w:rsid w:val="00846670"/>
    <w:rsid w:val="008501A3"/>
    <w:rsid w:val="00850F88"/>
    <w:rsid w:val="0085159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B7E8C"/>
    <w:rsid w:val="008C55B5"/>
    <w:rsid w:val="008C61E5"/>
    <w:rsid w:val="008C6ACF"/>
    <w:rsid w:val="008E4830"/>
    <w:rsid w:val="008F6A52"/>
    <w:rsid w:val="008F742C"/>
    <w:rsid w:val="009054FA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11221"/>
    <w:rsid w:val="00A144B2"/>
    <w:rsid w:val="00A31267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95BA6"/>
    <w:rsid w:val="00AA0704"/>
    <w:rsid w:val="00AA16A4"/>
    <w:rsid w:val="00AA66D5"/>
    <w:rsid w:val="00AB5007"/>
    <w:rsid w:val="00AB5D9D"/>
    <w:rsid w:val="00AB5F47"/>
    <w:rsid w:val="00AC3A09"/>
    <w:rsid w:val="00AC55E0"/>
    <w:rsid w:val="00AC7900"/>
    <w:rsid w:val="00AD0C6F"/>
    <w:rsid w:val="00AD3F28"/>
    <w:rsid w:val="00AD74F0"/>
    <w:rsid w:val="00AE35B5"/>
    <w:rsid w:val="00AE5ECB"/>
    <w:rsid w:val="00AF13F8"/>
    <w:rsid w:val="00B0134F"/>
    <w:rsid w:val="00B2186D"/>
    <w:rsid w:val="00B313C5"/>
    <w:rsid w:val="00B33D08"/>
    <w:rsid w:val="00B51AF8"/>
    <w:rsid w:val="00B5760B"/>
    <w:rsid w:val="00B6001F"/>
    <w:rsid w:val="00B7072E"/>
    <w:rsid w:val="00B716D3"/>
    <w:rsid w:val="00B9431D"/>
    <w:rsid w:val="00B94948"/>
    <w:rsid w:val="00B97228"/>
    <w:rsid w:val="00BA6E37"/>
    <w:rsid w:val="00BB0E4F"/>
    <w:rsid w:val="00BB2255"/>
    <w:rsid w:val="00BB4998"/>
    <w:rsid w:val="00BC2198"/>
    <w:rsid w:val="00BC5780"/>
    <w:rsid w:val="00BD2CEC"/>
    <w:rsid w:val="00BD3F75"/>
    <w:rsid w:val="00BF17BF"/>
    <w:rsid w:val="00C040D8"/>
    <w:rsid w:val="00C05C86"/>
    <w:rsid w:val="00C0796B"/>
    <w:rsid w:val="00C11BAB"/>
    <w:rsid w:val="00C226B0"/>
    <w:rsid w:val="00C23AA5"/>
    <w:rsid w:val="00C3497C"/>
    <w:rsid w:val="00C35FFE"/>
    <w:rsid w:val="00C4175D"/>
    <w:rsid w:val="00C422E7"/>
    <w:rsid w:val="00C45DC8"/>
    <w:rsid w:val="00C47012"/>
    <w:rsid w:val="00C56187"/>
    <w:rsid w:val="00C6507C"/>
    <w:rsid w:val="00C67F19"/>
    <w:rsid w:val="00C74683"/>
    <w:rsid w:val="00C87D32"/>
    <w:rsid w:val="00C97EDC"/>
    <w:rsid w:val="00CA0F33"/>
    <w:rsid w:val="00CA4801"/>
    <w:rsid w:val="00CA5810"/>
    <w:rsid w:val="00CA5F89"/>
    <w:rsid w:val="00CB0FB3"/>
    <w:rsid w:val="00CB45B6"/>
    <w:rsid w:val="00CC1900"/>
    <w:rsid w:val="00CC43AD"/>
    <w:rsid w:val="00CD29F8"/>
    <w:rsid w:val="00CD3192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E636E"/>
    <w:rsid w:val="00EF0629"/>
    <w:rsid w:val="00EF52B8"/>
    <w:rsid w:val="00EF5E08"/>
    <w:rsid w:val="00EF783C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43CB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C59AD"/>
    <w:rsid w:val="00FD2499"/>
    <w:rsid w:val="00FD3A49"/>
    <w:rsid w:val="00FD7B1E"/>
    <w:rsid w:val="00FE06AF"/>
    <w:rsid w:val="00FE0C63"/>
    <w:rsid w:val="00FF2FBC"/>
    <w:rsid w:val="00FF4A46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Grace Commiso</cp:lastModifiedBy>
  <cp:revision>2</cp:revision>
  <cp:lastPrinted>2025-10-07T20:23:00Z</cp:lastPrinted>
  <dcterms:created xsi:type="dcterms:W3CDTF">2026-04-28T03:50:00Z</dcterms:created>
  <dcterms:modified xsi:type="dcterms:W3CDTF">2026-04-28T03:50:00Z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