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3348F8D3" w:rsidR="00D84AB9" w:rsidRPr="00A80EB7" w:rsidRDefault="00102468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January 27, 2026</w:t>
      </w:r>
    </w:p>
    <w:p w14:paraId="058F8866" w14:textId="4D80D25F" w:rsidR="00D84AB9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2137302" w14:textId="79820CA3" w:rsidR="000D18E1" w:rsidRPr="00A80EB7" w:rsidRDefault="000D18E1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Minutes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4F98DD26" w:rsidR="00AD0C6F" w:rsidRPr="00A80EB7" w:rsidRDefault="005D2814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0C1F1AE0" w:rsidR="00AD0C6F" w:rsidRPr="00A80EB7" w:rsidRDefault="005D2814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730B6321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bookmarkStart w:id="0" w:name="_GoBack"/>
            <w:bookmarkEnd w:id="0"/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0C462223" w:rsidR="00AD0C6F" w:rsidRPr="00745C4A" w:rsidRDefault="005D2814" w:rsidP="00AD0C6F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0312B1C9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2DABD68F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17B9957A" w:rsidR="00991C0D" w:rsidRPr="00A80EB7" w:rsidRDefault="00534DC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F8E8119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799842AC" w:rsidR="00991C0D" w:rsidRPr="00A80EB7" w:rsidRDefault="005D281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6142B5E5" w:rsidR="00991C0D" w:rsidRPr="00A80EB7" w:rsidRDefault="005D281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C583D9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0BE38A2" w:rsidR="00991C0D" w:rsidRPr="00A80EB7" w:rsidRDefault="00B67E6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6C8F503A" w:rsidR="00991C0D" w:rsidRPr="00A80EB7" w:rsidRDefault="00B67E6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43AB5B3" w:rsidR="00BC5780" w:rsidRPr="00A80EB7" w:rsidRDefault="00D8731D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68AEB19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753ED5B4" w:rsidR="00BC5780" w:rsidRPr="00A80EB7" w:rsidRDefault="100B2FAC" w:rsidP="730B6321"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76931AAE" w14:textId="5749044E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32F2499B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BC5780" w:rsidRPr="003403A4" w:rsidRDefault="00BC5780" w:rsidP="730B6321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730B6321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273716AE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6BDD848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076DCBBC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1A2D9975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1B4F5F0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3022BCD" w:rsidR="00BC5780" w:rsidRPr="00A80EB7" w:rsidRDefault="003362E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730B6321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6264CCC8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84D0C0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50110619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03C7FA8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3823C712" w:rsidR="00BC5780" w:rsidRPr="00A80EB7" w:rsidRDefault="005D281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07C20C3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57F5339D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102468">
            <w:pPr>
              <w:rPr>
                <w:rFonts w:cstheme="minorHAnsi"/>
              </w:rPr>
            </w:pPr>
          </w:p>
        </w:tc>
      </w:tr>
      <w:tr w:rsidR="003403A4" w:rsidRPr="00745C4A" w14:paraId="60D49B0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1" w:name="_Hlk209081665"/>
            <w:r w:rsidRPr="00A80EB7">
              <w:rPr>
                <w:rFonts w:cstheme="minorHAnsi"/>
                <w:b/>
              </w:rPr>
              <w:lastRenderedPageBreak/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1FD58609" w:rsidR="003403A4" w:rsidRPr="00A80EB7" w:rsidRDefault="00C854D1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69A289D5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2F6354F0" w:rsidR="003403A4" w:rsidRPr="00A80EB7" w:rsidRDefault="00B67E6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bookmarkEnd w:id="1"/>
      <w:tr w:rsidR="003403A4" w:rsidRPr="00A80EB7" w14:paraId="0A9BF4DA" w14:textId="77777777" w:rsidTr="730B6321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27B407B9" w:rsidR="003403A4" w:rsidRPr="00A80EB7" w:rsidRDefault="009563B7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A80EB7" w14:paraId="42ABD545" w14:textId="77777777" w:rsidTr="730B6321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7F5B97EA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313C5">
              <w:rPr>
                <w:rFonts w:cstheme="minorHAnsi"/>
                <w:sz w:val="24"/>
                <w:szCs w:val="24"/>
              </w:rPr>
              <w:t xml:space="preserve">11/18/2025 &amp; </w:t>
            </w:r>
            <w:r w:rsidR="00102468">
              <w:rPr>
                <w:rFonts w:cstheme="minorHAnsi"/>
                <w:sz w:val="24"/>
                <w:szCs w:val="24"/>
              </w:rPr>
              <w:t>12/02</w:t>
            </w:r>
            <w:r w:rsidR="006021F2">
              <w:rPr>
                <w:rFonts w:cstheme="minorHAnsi"/>
                <w:sz w:val="24"/>
                <w:szCs w:val="24"/>
              </w:rPr>
              <w:t>/</w:t>
            </w:r>
            <w:r w:rsidR="00043471">
              <w:rPr>
                <w:rFonts w:cstheme="minorHAnsi"/>
                <w:sz w:val="24"/>
                <w:szCs w:val="24"/>
              </w:rPr>
              <w:t>2025</w:t>
            </w:r>
            <w:r w:rsidR="002B320E">
              <w:rPr>
                <w:rFonts w:cstheme="minorHAnsi"/>
                <w:sz w:val="24"/>
                <w:szCs w:val="24"/>
              </w:rPr>
              <w:t xml:space="preserve"> 1</w:t>
            </w:r>
            <w:r w:rsidR="002B320E" w:rsidRPr="002B320E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2B320E">
              <w:rPr>
                <w:rFonts w:cstheme="minorHAnsi"/>
                <w:sz w:val="24"/>
                <w:szCs w:val="24"/>
              </w:rPr>
              <w:t xml:space="preserve"> Kim N. 2</w:t>
            </w:r>
            <w:r w:rsidR="002B320E" w:rsidRPr="002B320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2B320E">
              <w:rPr>
                <w:rFonts w:cstheme="minorHAnsi"/>
                <w:sz w:val="24"/>
                <w:szCs w:val="24"/>
              </w:rPr>
              <w:t xml:space="preserve"> Kim A.</w:t>
            </w:r>
          </w:p>
          <w:p w14:paraId="77DFF1FA" w14:textId="664E5988" w:rsidR="00571180" w:rsidRDefault="00571180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Unanimously approved</w:t>
            </w:r>
          </w:p>
          <w:p w14:paraId="0CC571EE" w14:textId="6EE8652E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F16A04">
              <w:rPr>
                <w:rFonts w:cstheme="minorHAnsi"/>
                <w:sz w:val="24"/>
                <w:szCs w:val="24"/>
              </w:rPr>
              <w:t>Kim Nickell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7C173986" w14:textId="77777777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004EB2">
              <w:rPr>
                <w:rFonts w:cstheme="minorHAnsi"/>
                <w:sz w:val="24"/>
                <w:szCs w:val="24"/>
              </w:rPr>
              <w:t>Vision Review</w:t>
            </w:r>
          </w:p>
          <w:p w14:paraId="3D31E815" w14:textId="7CA2DA4D" w:rsidR="00571180" w:rsidRDefault="004D3CA9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571180">
              <w:rPr>
                <w:rFonts w:cstheme="minorHAnsi"/>
                <w:sz w:val="24"/>
                <w:szCs w:val="24"/>
              </w:rPr>
              <w:t xml:space="preserve">RSI first cohort training </w:t>
            </w:r>
            <w:r>
              <w:rPr>
                <w:rFonts w:cstheme="minorHAnsi"/>
                <w:sz w:val="24"/>
                <w:szCs w:val="24"/>
              </w:rPr>
              <w:t>occurred; over</w:t>
            </w:r>
            <w:r w:rsidR="00B43659">
              <w:rPr>
                <w:rFonts w:cstheme="minorHAnsi"/>
                <w:sz w:val="24"/>
                <w:szCs w:val="24"/>
              </w:rPr>
              <w:t xml:space="preserve"> 200 faculty have completed</w:t>
            </w:r>
          </w:p>
          <w:p w14:paraId="2848CA83" w14:textId="30BA7838" w:rsidR="00571180" w:rsidRDefault="00571180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RSI presentation review for Academic Senate</w:t>
            </w:r>
            <w:r w:rsidR="00E67988">
              <w:rPr>
                <w:rFonts w:cstheme="minorHAnsi"/>
                <w:sz w:val="24"/>
                <w:szCs w:val="24"/>
              </w:rPr>
              <w:t>: information to include Fall 25 work AIQ has been doing, what RSI</w:t>
            </w:r>
            <w:r w:rsidR="004D3CA9">
              <w:rPr>
                <w:rFonts w:cstheme="minorHAnsi"/>
                <w:sz w:val="24"/>
                <w:szCs w:val="24"/>
              </w:rPr>
              <w:t xml:space="preserve"> is</w:t>
            </w:r>
            <w:r w:rsidR="00E67988">
              <w:rPr>
                <w:rFonts w:cstheme="minorHAnsi"/>
                <w:sz w:val="24"/>
                <w:szCs w:val="24"/>
              </w:rPr>
              <w:t>, the hybrid question about RSI</w:t>
            </w:r>
            <w:r w:rsidR="000D355F">
              <w:rPr>
                <w:rFonts w:cstheme="minorHAnsi"/>
                <w:sz w:val="24"/>
                <w:szCs w:val="24"/>
              </w:rPr>
              <w:t>, what the common practice</w:t>
            </w:r>
            <w:r w:rsidR="004D3CA9">
              <w:rPr>
                <w:rFonts w:cstheme="minorHAnsi"/>
                <w:sz w:val="24"/>
                <w:szCs w:val="24"/>
              </w:rPr>
              <w:t xml:space="preserve"> is,</w:t>
            </w:r>
            <w:r w:rsidR="000D355F">
              <w:rPr>
                <w:rFonts w:cstheme="minorHAnsi"/>
                <w:sz w:val="24"/>
                <w:szCs w:val="24"/>
              </w:rPr>
              <w:t xml:space="preserve"> but </w:t>
            </w:r>
            <w:r w:rsidR="004D3CA9">
              <w:rPr>
                <w:rFonts w:cstheme="minorHAnsi"/>
                <w:sz w:val="24"/>
                <w:szCs w:val="24"/>
              </w:rPr>
              <w:t xml:space="preserve">there is </w:t>
            </w:r>
            <w:r w:rsidR="000D355F">
              <w:rPr>
                <w:rFonts w:cstheme="minorHAnsi"/>
                <w:sz w:val="24"/>
                <w:szCs w:val="24"/>
              </w:rPr>
              <w:t>no language in any guiding document about RSI. Every institution, however,</w:t>
            </w:r>
            <w:r w:rsidR="00B43659">
              <w:rPr>
                <w:rFonts w:cstheme="minorHAnsi"/>
                <w:sz w:val="24"/>
                <w:szCs w:val="24"/>
              </w:rPr>
              <w:t xml:space="preserve"> </w:t>
            </w:r>
            <w:r w:rsidR="004D3CA9">
              <w:rPr>
                <w:rFonts w:cstheme="minorHAnsi"/>
                <w:sz w:val="24"/>
                <w:szCs w:val="24"/>
              </w:rPr>
              <w:t>requires</w:t>
            </w:r>
            <w:r w:rsidR="00B43659">
              <w:rPr>
                <w:rFonts w:cstheme="minorHAnsi"/>
                <w:sz w:val="24"/>
                <w:szCs w:val="24"/>
              </w:rPr>
              <w:t xml:space="preserve"> RSI, so we should as well. AS </w:t>
            </w:r>
            <w:r w:rsidR="004D3CA9">
              <w:rPr>
                <w:rFonts w:cstheme="minorHAnsi"/>
                <w:sz w:val="24"/>
                <w:szCs w:val="24"/>
              </w:rPr>
              <w:t xml:space="preserve">is </w:t>
            </w:r>
            <w:r w:rsidR="00B43659">
              <w:rPr>
                <w:rFonts w:cstheme="minorHAnsi"/>
                <w:sz w:val="24"/>
                <w:szCs w:val="24"/>
              </w:rPr>
              <w:t>looking to AIQ for guidance.</w:t>
            </w:r>
          </w:p>
          <w:p w14:paraId="1049D761" w14:textId="0178D0C2" w:rsidR="00B43659" w:rsidRDefault="00B43659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50% technology vs in person should follow RSI. VP Rice started the hybrid RSI need, and VP Jessica wants to continue this.</w:t>
            </w:r>
          </w:p>
          <w:p w14:paraId="1DA424AB" w14:textId="219ACFA6" w:rsidR="00B43659" w:rsidRDefault="00B05BD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Would there be different requirements for hybrid meeting RSI? Prorate the standard according to the amount of online time vs in person ex: the number of discussions, announcements, etc.</w:t>
            </w:r>
          </w:p>
          <w:p w14:paraId="4B1CCDAC" w14:textId="0E9DB3A3" w:rsidR="00B05BD2" w:rsidRDefault="00B05BD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will we begin looking at the hybrid courses? This may not happen until next spring. Time, resources, AS, and FCDC consideration</w:t>
            </w:r>
            <w:r w:rsidR="00CE60B3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. What will the percentage threshold be online vs in person? Any percent that requires online/technology will need to follow RSI.</w:t>
            </w:r>
          </w:p>
          <w:p w14:paraId="01D87DA2" w14:textId="142287F6" w:rsidR="00B05BD2" w:rsidRDefault="00B67E64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Vote: </w:t>
            </w:r>
            <w:r w:rsidR="0092159E">
              <w:rPr>
                <w:rFonts w:cstheme="minorHAnsi"/>
                <w:sz w:val="24"/>
                <w:szCs w:val="24"/>
              </w:rPr>
              <w:t>It is AIQ’s position to require RSI</w:t>
            </w:r>
            <w:r w:rsidR="00436D34">
              <w:rPr>
                <w:rFonts w:cstheme="minorHAnsi"/>
                <w:sz w:val="24"/>
                <w:szCs w:val="24"/>
              </w:rPr>
              <w:t xml:space="preserve"> ~ unanimously passed</w:t>
            </w:r>
          </w:p>
          <w:p w14:paraId="0BC6B2A0" w14:textId="7FF5FC5D" w:rsidR="00436D34" w:rsidRDefault="00436D34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few updates to the language of the RSI presentation were made about BC</w:t>
            </w:r>
            <w:r w:rsidR="00B46388">
              <w:rPr>
                <w:rFonts w:cstheme="minorHAnsi"/>
                <w:sz w:val="24"/>
                <w:szCs w:val="24"/>
              </w:rPr>
              <w:t>’s policies for scheduling of hybrid courses.</w:t>
            </w:r>
          </w:p>
          <w:p w14:paraId="1ADF7685" w14:textId="486104BE" w:rsidR="00B46388" w:rsidRDefault="00B46388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4CFFB840" w14:textId="75E5600E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cohorts completed, 200 faculty, </w:t>
            </w:r>
            <w:r w:rsidR="004D3CA9">
              <w:rPr>
                <w:rFonts w:cstheme="minorHAnsi"/>
                <w:sz w:val="24"/>
                <w:szCs w:val="24"/>
              </w:rPr>
              <w:t>#</w:t>
            </w:r>
            <w:r>
              <w:rPr>
                <w:rFonts w:cstheme="minorHAnsi"/>
                <w:sz w:val="24"/>
                <w:szCs w:val="24"/>
              </w:rPr>
              <w:t xml:space="preserve">4 </w:t>
            </w:r>
            <w:r w:rsidR="004D3CA9">
              <w:rPr>
                <w:rFonts w:cstheme="minorHAnsi"/>
                <w:sz w:val="24"/>
                <w:szCs w:val="24"/>
              </w:rPr>
              <w:t xml:space="preserve">is </w:t>
            </w:r>
            <w:r>
              <w:rPr>
                <w:rFonts w:cstheme="minorHAnsi"/>
                <w:sz w:val="24"/>
                <w:szCs w:val="24"/>
              </w:rPr>
              <w:t xml:space="preserve">wrapping up, </w:t>
            </w:r>
            <w:r w:rsidR="002D33BB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there are 4 more upcoming.</w:t>
            </w:r>
          </w:p>
          <w:p w14:paraId="6E765E90" w14:textId="32292CE9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Hire a </w:t>
            </w:r>
            <w:r w:rsidR="004D3CA9">
              <w:rPr>
                <w:rFonts w:cstheme="minorHAnsi"/>
                <w:sz w:val="24"/>
                <w:szCs w:val="24"/>
              </w:rPr>
              <w:t>full-time</w:t>
            </w:r>
            <w:r>
              <w:rPr>
                <w:rFonts w:cstheme="minorHAnsi"/>
                <w:sz w:val="24"/>
                <w:szCs w:val="24"/>
              </w:rPr>
              <w:t xml:space="preserve"> DE faculty </w:t>
            </w:r>
            <w:r w:rsidR="004D3CA9">
              <w:rPr>
                <w:rFonts w:cstheme="minorHAnsi"/>
                <w:sz w:val="24"/>
                <w:szCs w:val="24"/>
              </w:rPr>
              <w:t xml:space="preserve">member </w:t>
            </w:r>
            <w:r>
              <w:rPr>
                <w:rFonts w:cstheme="minorHAnsi"/>
                <w:sz w:val="24"/>
                <w:szCs w:val="24"/>
              </w:rPr>
              <w:t xml:space="preserve">to do the training in the fall. This person will also chair the DE </w:t>
            </w:r>
            <w:r w:rsidR="00543150">
              <w:rPr>
                <w:rFonts w:cstheme="minorHAnsi"/>
                <w:sz w:val="24"/>
                <w:szCs w:val="24"/>
              </w:rPr>
              <w:t>review council</w:t>
            </w:r>
            <w:r>
              <w:rPr>
                <w:rFonts w:cstheme="minorHAnsi"/>
                <w:sz w:val="24"/>
                <w:szCs w:val="24"/>
              </w:rPr>
              <w:t xml:space="preserve">. The charge for the DE </w:t>
            </w:r>
            <w:r w:rsidR="00543150">
              <w:rPr>
                <w:rFonts w:cstheme="minorHAnsi"/>
                <w:sz w:val="24"/>
                <w:szCs w:val="24"/>
              </w:rPr>
              <w:t xml:space="preserve">review council </w:t>
            </w:r>
            <w:r w:rsidR="004D3CA9">
              <w:rPr>
                <w:rFonts w:cstheme="minorHAnsi"/>
                <w:sz w:val="24"/>
                <w:szCs w:val="24"/>
              </w:rPr>
              <w:t xml:space="preserve">is </w:t>
            </w:r>
            <w:r>
              <w:rPr>
                <w:rFonts w:cstheme="minorHAnsi"/>
                <w:sz w:val="24"/>
                <w:szCs w:val="24"/>
              </w:rPr>
              <w:t>going to the Senate for approval.</w:t>
            </w:r>
          </w:p>
          <w:p w14:paraId="4F9D58C8" w14:textId="6263BFB4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27BE4E6F" w14:textId="7D7606DC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21 courses were reviewed in the fall, </w:t>
            </w:r>
            <w:r w:rsidR="004D3CA9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4 passed both Regular and Substantive. Grace reported out to</w:t>
            </w:r>
            <w:r w:rsidR="004D3CA9">
              <w:rPr>
                <w:rFonts w:cstheme="minorHAnsi"/>
                <w:sz w:val="24"/>
                <w:szCs w:val="24"/>
              </w:rPr>
              <w:t xml:space="preserve"> all 20 of</w:t>
            </w:r>
            <w:r>
              <w:rPr>
                <w:rFonts w:cstheme="minorHAnsi"/>
                <w:sz w:val="24"/>
                <w:szCs w:val="24"/>
              </w:rPr>
              <w:t xml:space="preserve"> the </w:t>
            </w:r>
            <w:r w:rsidR="004D3CA9">
              <w:rPr>
                <w:rFonts w:cstheme="minorHAnsi"/>
                <w:sz w:val="24"/>
                <w:szCs w:val="24"/>
              </w:rPr>
              <w:t xml:space="preserve">volunteer </w:t>
            </w:r>
            <w:r>
              <w:rPr>
                <w:rFonts w:cstheme="minorHAnsi"/>
                <w:sz w:val="24"/>
                <w:szCs w:val="24"/>
              </w:rPr>
              <w:t>faculty the</w:t>
            </w:r>
            <w:r w:rsidR="004D3CA9">
              <w:rPr>
                <w:rFonts w:cstheme="minorHAnsi"/>
                <w:sz w:val="24"/>
                <w:szCs w:val="24"/>
              </w:rPr>
              <w:t>ir</w:t>
            </w:r>
            <w:r>
              <w:rPr>
                <w:rFonts w:cstheme="minorHAnsi"/>
                <w:sz w:val="24"/>
                <w:szCs w:val="24"/>
              </w:rPr>
              <w:t xml:space="preserve"> results.</w:t>
            </w:r>
            <w:r w:rsidR="00C854D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314FCC" w14:textId="2CCF0C11" w:rsidR="00E361C8" w:rsidRDefault="00E361C8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1E0EC28B" w14:textId="22DF8A29" w:rsidR="00E361C8" w:rsidRDefault="00E361C8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 se</w:t>
            </w:r>
            <w:r w:rsidR="00247832">
              <w:rPr>
                <w:rFonts w:cstheme="minorHAnsi"/>
                <w:sz w:val="24"/>
                <w:szCs w:val="24"/>
              </w:rPr>
              <w:t>ctions will be reviewed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AADDEC2" w14:textId="5066E30C" w:rsidR="00042A8B" w:rsidRDefault="00042A8B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16212DD6" w14:textId="3397B549" w:rsidR="00042A8B" w:rsidRDefault="00042A8B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the deans are taking the training in May.</w:t>
            </w:r>
          </w:p>
          <w:p w14:paraId="5E127A80" w14:textId="7C2A5F93" w:rsidR="00042A8B" w:rsidRDefault="00042A8B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Classified will be trained on using the rubric.</w:t>
            </w:r>
          </w:p>
          <w:p w14:paraId="00A186B6" w14:textId="1497FCAA" w:rsidR="00042A8B" w:rsidRDefault="0024783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 of our classified members have shown the desire to go through the RSI course.</w:t>
            </w:r>
          </w:p>
          <w:p w14:paraId="25C4C2C0" w14:textId="21AD2F0B" w:rsidR="00247832" w:rsidRDefault="0024783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spring 2026 Review all DE sections.</w:t>
            </w:r>
          </w:p>
          <w:p w14:paraId="0BF27312" w14:textId="04EC4E0E" w:rsidR="00247832" w:rsidRDefault="0024783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sections </w:t>
            </w:r>
            <w:r w:rsidR="004D3CA9">
              <w:rPr>
                <w:rFonts w:cstheme="minorHAnsi"/>
                <w:sz w:val="24"/>
                <w:szCs w:val="24"/>
              </w:rPr>
              <w:t xml:space="preserve">will be </w:t>
            </w:r>
            <w:r>
              <w:rPr>
                <w:rFonts w:cstheme="minorHAnsi"/>
                <w:sz w:val="24"/>
                <w:szCs w:val="24"/>
              </w:rPr>
              <w:t>reviewed because we are creating a process.</w:t>
            </w:r>
          </w:p>
          <w:p w14:paraId="238A0B91" w14:textId="0B6020C4" w:rsidR="00247832" w:rsidRDefault="00247832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the Midterm report, we may be able to scale back to some type of sampling of course</w:t>
            </w:r>
            <w:r w:rsidR="00E815C0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to be reviewed.</w:t>
            </w:r>
          </w:p>
          <w:p w14:paraId="371CF236" w14:textId="20952730" w:rsidR="00F43E17" w:rsidRDefault="00F43E17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DE </w:t>
            </w:r>
            <w:r w:rsidR="00E815C0">
              <w:rPr>
                <w:rFonts w:cstheme="minorHAnsi"/>
                <w:sz w:val="24"/>
                <w:szCs w:val="24"/>
              </w:rPr>
              <w:t>review council</w:t>
            </w:r>
            <w:r>
              <w:rPr>
                <w:rFonts w:cstheme="minorHAnsi"/>
                <w:sz w:val="24"/>
                <w:szCs w:val="24"/>
              </w:rPr>
              <w:t xml:space="preserve"> charge will not reflect summer work.</w:t>
            </w:r>
          </w:p>
          <w:p w14:paraId="5AC5FFF0" w14:textId="34A36D97" w:rsidR="00F43E17" w:rsidRDefault="00F43E17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CCC Tech </w:t>
            </w:r>
            <w:r w:rsidR="00E815C0">
              <w:rPr>
                <w:rFonts w:cstheme="minorHAnsi"/>
                <w:sz w:val="24"/>
                <w:szCs w:val="24"/>
              </w:rPr>
              <w:t>Connect</w:t>
            </w:r>
            <w:r>
              <w:rPr>
                <w:rFonts w:cstheme="minorHAnsi"/>
                <w:sz w:val="24"/>
                <w:szCs w:val="24"/>
              </w:rPr>
              <w:t xml:space="preserve"> has a March 2</w:t>
            </w:r>
            <w:r w:rsidRPr="00F43E17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RSI workshop. </w:t>
            </w:r>
          </w:p>
          <w:p w14:paraId="310E44FA" w14:textId="7CB007B4" w:rsidR="006D7722" w:rsidRDefault="00E815C0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6D7722">
              <w:rPr>
                <w:rFonts w:cstheme="minorHAnsi"/>
                <w:sz w:val="24"/>
                <w:szCs w:val="24"/>
              </w:rPr>
              <w:t>DE review council charge is already on the AS webpage.</w:t>
            </w:r>
            <w:r w:rsidR="00E430AC">
              <w:rPr>
                <w:rFonts w:cstheme="minorHAnsi"/>
                <w:sz w:val="24"/>
                <w:szCs w:val="24"/>
              </w:rPr>
              <w:t xml:space="preserve"> The E board has another read (2 in total) before it goes to the larger AS </w:t>
            </w:r>
            <w:r w:rsidR="006D77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8904FF" w14:textId="77777777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441264E2" w14:textId="77777777" w:rsidR="00B85485" w:rsidRDefault="00B85485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552D4D76" w14:textId="2D581C77" w:rsidR="000D355F" w:rsidRPr="00D63536" w:rsidRDefault="000D355F" w:rsidP="0057118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768577E8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6D7722">
              <w:rPr>
                <w:rFonts w:cstheme="minorHAnsi"/>
                <w:sz w:val="24"/>
                <w:szCs w:val="24"/>
              </w:rPr>
              <w:t xml:space="preserve">): </w:t>
            </w:r>
            <w:r w:rsidR="000D18E1">
              <w:rPr>
                <w:rFonts w:cstheme="minorHAnsi"/>
                <w:sz w:val="24"/>
                <w:szCs w:val="24"/>
              </w:rPr>
              <w:t>First meeting is Tuesday, 2/03/2026</w:t>
            </w:r>
            <w:r w:rsidR="006D7722">
              <w:rPr>
                <w:rFonts w:cstheme="minorHAnsi"/>
                <w:sz w:val="24"/>
                <w:szCs w:val="24"/>
              </w:rPr>
              <w:t>. PRC chairs met with VPFAS King to update Resource Request timelines and documents to align with budget.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73148B58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6D7722">
              <w:rPr>
                <w:rFonts w:cstheme="minorHAnsi"/>
                <w:sz w:val="24"/>
                <w:szCs w:val="24"/>
              </w:rPr>
              <w:t xml:space="preserve">: Assessment meets Feb. 6. Still waiting </w:t>
            </w:r>
            <w:r w:rsidR="00E815C0">
              <w:rPr>
                <w:rFonts w:cstheme="minorHAnsi"/>
                <w:sz w:val="24"/>
                <w:szCs w:val="24"/>
              </w:rPr>
              <w:t xml:space="preserve">for </w:t>
            </w:r>
            <w:r w:rsidR="006D7722">
              <w:rPr>
                <w:rFonts w:cstheme="minorHAnsi"/>
                <w:sz w:val="24"/>
                <w:szCs w:val="24"/>
              </w:rPr>
              <w:t>phase 3 with common course numbering. Some things may get backed up once they hit Curriculum. But things are moving forward</w:t>
            </w:r>
            <w:r w:rsidR="00E815C0">
              <w:rPr>
                <w:rFonts w:cstheme="minorHAnsi"/>
                <w:sz w:val="24"/>
                <w:szCs w:val="24"/>
              </w:rPr>
              <w:t>.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755AB951" w14:textId="2A6C6122" w:rsidR="009D3CE3" w:rsidRPr="00203564" w:rsidRDefault="00102468" w:rsidP="0010246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 xml:space="preserve">AIQ </w:t>
            </w:r>
            <w:r w:rsidR="000F0220" w:rsidRPr="00203564">
              <w:rPr>
                <w:rFonts w:cstheme="minorHAnsi"/>
                <w:sz w:val="24"/>
                <w:szCs w:val="24"/>
              </w:rPr>
              <w:t>Survey:</w:t>
            </w:r>
            <w:r w:rsidR="00E815C0" w:rsidRPr="00203564">
              <w:rPr>
                <w:rFonts w:cstheme="minorHAnsi"/>
                <w:sz w:val="24"/>
                <w:szCs w:val="24"/>
              </w:rPr>
              <w:t xml:space="preserve"> </w:t>
            </w:r>
            <w:r w:rsidR="002B3225" w:rsidRPr="00203564">
              <w:rPr>
                <w:rFonts w:cstheme="minorHAnsi"/>
                <w:sz w:val="24"/>
                <w:szCs w:val="24"/>
              </w:rPr>
              <w:t>The survey went out Fall 25.</w:t>
            </w:r>
            <w:r w:rsidR="00E430AC" w:rsidRPr="00203564">
              <w:rPr>
                <w:rFonts w:cstheme="minorHAnsi"/>
                <w:sz w:val="24"/>
                <w:szCs w:val="24"/>
              </w:rPr>
              <w:t xml:space="preserve"> </w:t>
            </w:r>
            <w:r w:rsidR="002C310F" w:rsidRPr="00203564">
              <w:rPr>
                <w:rFonts w:cstheme="minorHAnsi"/>
                <w:sz w:val="24"/>
                <w:szCs w:val="24"/>
              </w:rPr>
              <w:t xml:space="preserve">Comments including names or </w:t>
            </w:r>
            <w:r w:rsidR="000F0220" w:rsidRPr="00203564">
              <w:rPr>
                <w:rFonts w:cstheme="minorHAnsi"/>
                <w:sz w:val="24"/>
                <w:szCs w:val="24"/>
              </w:rPr>
              <w:t>positions</w:t>
            </w:r>
            <w:r w:rsidR="002C310F" w:rsidRPr="00203564">
              <w:rPr>
                <w:rFonts w:cstheme="minorHAnsi"/>
                <w:sz w:val="24"/>
                <w:szCs w:val="24"/>
              </w:rPr>
              <w:t xml:space="preserve"> are redacted (far fewer than previous </w:t>
            </w:r>
            <w:r w:rsidR="00203564" w:rsidRPr="00203564">
              <w:rPr>
                <w:rFonts w:cstheme="minorHAnsi"/>
                <w:sz w:val="24"/>
                <w:szCs w:val="24"/>
              </w:rPr>
              <w:t>yard</w:t>
            </w:r>
            <w:r w:rsidR="002C310F" w:rsidRPr="00203564">
              <w:rPr>
                <w:rFonts w:cstheme="minorHAnsi"/>
                <w:sz w:val="24"/>
                <w:szCs w:val="24"/>
              </w:rPr>
              <w:t>). No grammar or punctuation is corrected</w:t>
            </w:r>
            <w:r w:rsidR="008D59FF" w:rsidRPr="00203564">
              <w:rPr>
                <w:rFonts w:cstheme="minorHAnsi"/>
                <w:sz w:val="24"/>
                <w:szCs w:val="24"/>
              </w:rPr>
              <w:t xml:space="preserve"> in the survey</w:t>
            </w:r>
            <w:r w:rsidR="002C310F" w:rsidRPr="00203564">
              <w:rPr>
                <w:rFonts w:cstheme="minorHAnsi"/>
                <w:sz w:val="24"/>
                <w:szCs w:val="24"/>
              </w:rPr>
              <w:t>.</w:t>
            </w:r>
            <w:r w:rsidR="008D13BB" w:rsidRPr="00203564">
              <w:rPr>
                <w:rFonts w:cstheme="minorHAnsi"/>
                <w:sz w:val="24"/>
                <w:szCs w:val="24"/>
              </w:rPr>
              <w:t xml:space="preserve"> The members of AIQ read through the comments.</w:t>
            </w:r>
            <w:r w:rsidR="00C23C5B" w:rsidRPr="00203564">
              <w:rPr>
                <w:rFonts w:cstheme="minorHAnsi"/>
                <w:sz w:val="24"/>
                <w:szCs w:val="24"/>
              </w:rPr>
              <w:t xml:space="preserve"> AIQ provides the report of the survey results to all areas, but AIQ does not enforce the use of the report for areas to make changes.</w:t>
            </w:r>
          </w:p>
          <w:p w14:paraId="6BDA8DDE" w14:textId="77777777" w:rsidR="00E815C0" w:rsidRPr="00203564" w:rsidRDefault="00E815C0" w:rsidP="003441B5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</w:p>
          <w:p w14:paraId="04B07091" w14:textId="0D04B88A" w:rsidR="003441B5" w:rsidRPr="00203564" w:rsidRDefault="003441B5" w:rsidP="003441B5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>In the section of the survey referring to BC President</w:t>
            </w:r>
            <w:r w:rsidR="00E815C0" w:rsidRPr="00203564">
              <w:rPr>
                <w:rFonts w:cstheme="minorHAnsi"/>
                <w:sz w:val="24"/>
                <w:szCs w:val="24"/>
              </w:rPr>
              <w:t xml:space="preserve"> beginning on page 8</w:t>
            </w:r>
            <w:r w:rsidRPr="00203564">
              <w:rPr>
                <w:rFonts w:cstheme="minorHAnsi"/>
                <w:sz w:val="24"/>
                <w:szCs w:val="24"/>
              </w:rPr>
              <w:t>, there wa</w:t>
            </w:r>
            <w:r w:rsidR="00567675" w:rsidRPr="00203564">
              <w:rPr>
                <w:rFonts w:cstheme="minorHAnsi"/>
                <w:sz w:val="24"/>
                <w:szCs w:val="24"/>
              </w:rPr>
              <w:t>s discussion to redact names and pronouns.</w:t>
            </w:r>
          </w:p>
          <w:p w14:paraId="0EBF5F3D" w14:textId="4A06D5D2" w:rsidR="002C310F" w:rsidRPr="00203564" w:rsidRDefault="003441B5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 xml:space="preserve">Motion to keep </w:t>
            </w:r>
            <w:r w:rsidR="00E815C0" w:rsidRPr="00203564">
              <w:rPr>
                <w:rFonts w:cstheme="minorHAnsi"/>
                <w:sz w:val="24"/>
                <w:szCs w:val="24"/>
              </w:rPr>
              <w:t xml:space="preserve">the </w:t>
            </w:r>
            <w:r w:rsidRPr="00203564">
              <w:rPr>
                <w:rFonts w:cstheme="minorHAnsi"/>
                <w:sz w:val="24"/>
                <w:szCs w:val="24"/>
              </w:rPr>
              <w:t xml:space="preserve">first red comment </w:t>
            </w:r>
            <w:r w:rsidR="000F0220" w:rsidRPr="00203564">
              <w:rPr>
                <w:rFonts w:cstheme="minorHAnsi"/>
                <w:sz w:val="24"/>
                <w:szCs w:val="24"/>
              </w:rPr>
              <w:t>in:</w:t>
            </w:r>
            <w:r w:rsidRPr="00203564">
              <w:rPr>
                <w:rFonts w:cstheme="minorHAnsi"/>
                <w:sz w:val="24"/>
                <w:szCs w:val="24"/>
              </w:rPr>
              <w:t xml:space="preserve"> 1st Laura, 2</w:t>
            </w:r>
            <w:r w:rsidRPr="0020356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203564">
              <w:rPr>
                <w:rFonts w:cstheme="minorHAnsi"/>
                <w:sz w:val="24"/>
                <w:szCs w:val="24"/>
              </w:rPr>
              <w:t xml:space="preserve"> </w:t>
            </w:r>
            <w:r w:rsidR="000F0220" w:rsidRPr="00203564">
              <w:rPr>
                <w:rFonts w:cstheme="minorHAnsi"/>
                <w:sz w:val="24"/>
                <w:szCs w:val="24"/>
              </w:rPr>
              <w:t>Ricardo:</w:t>
            </w:r>
            <w:r w:rsidRPr="00203564">
              <w:rPr>
                <w:rFonts w:cstheme="minorHAnsi"/>
                <w:sz w:val="24"/>
                <w:szCs w:val="24"/>
              </w:rPr>
              <w:t xml:space="preserve"> the motion was approved. 2 abstains 1 nay</w:t>
            </w:r>
          </w:p>
          <w:p w14:paraId="3927A8A1" w14:textId="3FAD5330" w:rsidR="003441B5" w:rsidRPr="00203564" w:rsidRDefault="003441B5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>Motion to keep 2</w:t>
            </w:r>
            <w:r w:rsidRPr="0020356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203564">
              <w:rPr>
                <w:rFonts w:cstheme="minorHAnsi"/>
                <w:sz w:val="24"/>
                <w:szCs w:val="24"/>
              </w:rPr>
              <w:t xml:space="preserve"> red </w:t>
            </w:r>
            <w:r w:rsidR="000F0220" w:rsidRPr="00203564">
              <w:rPr>
                <w:rFonts w:cstheme="minorHAnsi"/>
                <w:sz w:val="24"/>
                <w:szCs w:val="24"/>
              </w:rPr>
              <w:t>comment:</w:t>
            </w:r>
            <w:r w:rsidRPr="00203564">
              <w:rPr>
                <w:rFonts w:cstheme="minorHAnsi"/>
                <w:sz w:val="24"/>
                <w:szCs w:val="24"/>
              </w:rPr>
              <w:t xml:space="preserve"> </w:t>
            </w:r>
            <w:r w:rsidR="00E815C0" w:rsidRPr="00203564">
              <w:rPr>
                <w:rFonts w:cstheme="minorHAnsi"/>
                <w:sz w:val="24"/>
                <w:szCs w:val="24"/>
              </w:rPr>
              <w:t>unanimously</w:t>
            </w:r>
            <w:r w:rsidRPr="00203564">
              <w:rPr>
                <w:rFonts w:cstheme="minorHAnsi"/>
                <w:sz w:val="24"/>
                <w:szCs w:val="24"/>
              </w:rPr>
              <w:t xml:space="preserve"> approved 2 abstains</w:t>
            </w:r>
          </w:p>
          <w:p w14:paraId="203AC100" w14:textId="69676E1F" w:rsidR="003441B5" w:rsidRPr="00203564" w:rsidRDefault="003441B5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 xml:space="preserve">Motion to redact </w:t>
            </w:r>
            <w:r w:rsidR="000F0220" w:rsidRPr="00203564">
              <w:rPr>
                <w:rFonts w:cstheme="minorHAnsi"/>
                <w:sz w:val="24"/>
                <w:szCs w:val="24"/>
              </w:rPr>
              <w:t>Fliger:</w:t>
            </w:r>
            <w:r w:rsidRPr="00203564">
              <w:rPr>
                <w:rFonts w:cstheme="minorHAnsi"/>
                <w:sz w:val="24"/>
                <w:szCs w:val="24"/>
              </w:rPr>
              <w:t xml:space="preserve"> 1st, 2</w:t>
            </w:r>
            <w:r w:rsidRPr="0020356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203564">
              <w:rPr>
                <w:rFonts w:cstheme="minorHAnsi"/>
                <w:sz w:val="24"/>
                <w:szCs w:val="24"/>
              </w:rPr>
              <w:t xml:space="preserve"> Kalina H. Friendly </w:t>
            </w:r>
            <w:r w:rsidR="00E815C0" w:rsidRPr="00203564">
              <w:rPr>
                <w:rFonts w:cstheme="minorHAnsi"/>
                <w:sz w:val="24"/>
                <w:szCs w:val="24"/>
              </w:rPr>
              <w:t>amendment</w:t>
            </w:r>
            <w:r w:rsidRPr="00203564">
              <w:rPr>
                <w:rFonts w:cstheme="minorHAnsi"/>
                <w:sz w:val="24"/>
                <w:szCs w:val="24"/>
              </w:rPr>
              <w:t xml:space="preserve"> to redact pronouns as well. </w:t>
            </w:r>
            <w:r w:rsidR="00567675" w:rsidRPr="00203564">
              <w:rPr>
                <w:rFonts w:cstheme="minorHAnsi"/>
                <w:sz w:val="24"/>
                <w:szCs w:val="24"/>
              </w:rPr>
              <w:t xml:space="preserve">Withdraw of friendly </w:t>
            </w:r>
            <w:r w:rsidR="00E815C0" w:rsidRPr="00203564">
              <w:rPr>
                <w:rFonts w:cstheme="minorHAnsi"/>
                <w:sz w:val="24"/>
                <w:szCs w:val="24"/>
              </w:rPr>
              <w:t>amendment</w:t>
            </w:r>
            <w:r w:rsidR="00567675" w:rsidRPr="00203564">
              <w:rPr>
                <w:rFonts w:cstheme="minorHAnsi"/>
                <w:sz w:val="24"/>
                <w:szCs w:val="24"/>
              </w:rPr>
              <w:t>. Unanimous to redact Fliger.</w:t>
            </w:r>
          </w:p>
          <w:p w14:paraId="458EBF75" w14:textId="7AF7A313" w:rsidR="00567675" w:rsidRPr="00203564" w:rsidRDefault="00567675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 xml:space="preserve">Motion to redact Fliger at the last bullet </w:t>
            </w:r>
            <w:r w:rsidR="000F0220" w:rsidRPr="00203564">
              <w:rPr>
                <w:rFonts w:cstheme="minorHAnsi"/>
                <w:sz w:val="24"/>
                <w:szCs w:val="24"/>
              </w:rPr>
              <w:t>point:</w:t>
            </w:r>
            <w:r w:rsidRPr="00203564">
              <w:rPr>
                <w:rFonts w:cstheme="minorHAnsi"/>
                <w:sz w:val="24"/>
                <w:szCs w:val="24"/>
              </w:rPr>
              <w:t xml:space="preserve"> unanimously approved.</w:t>
            </w:r>
          </w:p>
          <w:p w14:paraId="50624EE1" w14:textId="6B3C58D0" w:rsidR="00EF04C8" w:rsidRPr="00203564" w:rsidRDefault="00EF04C8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203564">
              <w:rPr>
                <w:rFonts w:cstheme="minorHAnsi"/>
                <w:sz w:val="24"/>
                <w:szCs w:val="24"/>
              </w:rPr>
              <w:t>Ended on Page 9 of 13</w:t>
            </w:r>
          </w:p>
          <w:p w14:paraId="6C6EACC5" w14:textId="77777777" w:rsidR="003441B5" w:rsidRPr="00203564" w:rsidRDefault="003441B5" w:rsidP="002C310F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</w:p>
          <w:p w14:paraId="25329DC7" w14:textId="68328342" w:rsidR="008F742C" w:rsidRPr="00203564" w:rsidRDefault="008F742C" w:rsidP="00F25C6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highlight w:val="yellow"/>
              </w:rPr>
            </w:pPr>
            <w:r w:rsidRPr="00203564">
              <w:rPr>
                <w:rFonts w:cstheme="minorHAnsi"/>
                <w:sz w:val="24"/>
                <w:szCs w:val="24"/>
                <w:highlight w:val="yellow"/>
              </w:rPr>
              <w:t xml:space="preserve">Core Value </w:t>
            </w:r>
            <w:r w:rsidR="000F0220" w:rsidRPr="00203564">
              <w:rPr>
                <w:rFonts w:cstheme="minorHAnsi"/>
                <w:sz w:val="24"/>
                <w:szCs w:val="24"/>
                <w:highlight w:val="yellow"/>
              </w:rPr>
              <w:t>Learning:</w:t>
            </w:r>
            <w:r w:rsidR="00F25C67" w:rsidRPr="00203564">
              <w:rPr>
                <w:rFonts w:cstheme="minorHAnsi"/>
                <w:sz w:val="24"/>
                <w:szCs w:val="24"/>
                <w:highlight w:val="yellow"/>
              </w:rPr>
              <w:t xml:space="preserve"> Tabled until recommendation by the Campus Culture Advisor</w:t>
            </w:r>
            <w:r w:rsidR="00664E96" w:rsidRPr="00203564">
              <w:rPr>
                <w:rFonts w:cstheme="minorHAnsi"/>
                <w:sz w:val="24"/>
                <w:szCs w:val="24"/>
                <w:highlight w:val="yellow"/>
              </w:rPr>
              <w:t>y</w:t>
            </w:r>
            <w:r w:rsidR="00F25C67" w:rsidRPr="00203564">
              <w:rPr>
                <w:rFonts w:cstheme="minorHAnsi"/>
                <w:sz w:val="24"/>
                <w:szCs w:val="24"/>
                <w:highlight w:val="yellow"/>
              </w:rPr>
              <w:t xml:space="preserve"> Task Force</w:t>
            </w:r>
          </w:p>
          <w:p w14:paraId="73E803F5" w14:textId="533D7EB5" w:rsidR="006D7722" w:rsidRPr="000F0220" w:rsidRDefault="006D7722" w:rsidP="0010246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highlight w:val="yellow"/>
              </w:rPr>
            </w:pPr>
            <w:r w:rsidRPr="002C310F">
              <w:rPr>
                <w:rFonts w:cstheme="minorHAnsi"/>
                <w:sz w:val="24"/>
                <w:szCs w:val="24"/>
                <w:highlight w:val="yellow"/>
                <w:lang w:val="fr-FR"/>
              </w:rPr>
              <w:lastRenderedPageBreak/>
              <w:t xml:space="preserve">Vision </w:t>
            </w:r>
            <w:r w:rsidR="000F0220" w:rsidRPr="000F0220">
              <w:rPr>
                <w:rFonts w:cstheme="minorHAnsi"/>
                <w:sz w:val="24"/>
                <w:szCs w:val="24"/>
                <w:highlight w:val="yellow"/>
              </w:rPr>
              <w:t>review :</w:t>
            </w:r>
            <w:r w:rsidR="000B27F7" w:rsidRPr="000F0220">
              <w:rPr>
                <w:rFonts w:cstheme="minorHAnsi"/>
                <w:sz w:val="24"/>
                <w:szCs w:val="24"/>
                <w:highlight w:val="yellow"/>
              </w:rPr>
              <w:t xml:space="preserve"> T</w:t>
            </w:r>
            <w:r w:rsidRPr="000F0220">
              <w:rPr>
                <w:rFonts w:cstheme="minorHAnsi"/>
                <w:sz w:val="24"/>
                <w:szCs w:val="24"/>
                <w:highlight w:val="yellow"/>
              </w:rPr>
              <w:t xml:space="preserve">abled until recommendation by the </w:t>
            </w:r>
            <w:r w:rsidR="000B27F7" w:rsidRPr="000F0220">
              <w:rPr>
                <w:rFonts w:cstheme="minorHAnsi"/>
                <w:sz w:val="24"/>
                <w:szCs w:val="24"/>
                <w:highlight w:val="yellow"/>
              </w:rPr>
              <w:t>Campus Culture Advisor</w:t>
            </w:r>
            <w:r w:rsidR="00664E96" w:rsidRPr="000F0220">
              <w:rPr>
                <w:rFonts w:cstheme="minorHAnsi"/>
                <w:sz w:val="24"/>
                <w:szCs w:val="24"/>
                <w:highlight w:val="yellow"/>
              </w:rPr>
              <w:t>y</w:t>
            </w:r>
            <w:r w:rsidR="000B27F7" w:rsidRPr="000F0220">
              <w:rPr>
                <w:rFonts w:cstheme="minorHAnsi"/>
                <w:sz w:val="24"/>
                <w:szCs w:val="24"/>
                <w:highlight w:val="yellow"/>
              </w:rPr>
              <w:t xml:space="preserve"> Task Force</w:t>
            </w:r>
          </w:p>
          <w:p w14:paraId="43E90604" w14:textId="2D17C2EF" w:rsidR="00E430AC" w:rsidRPr="000F0220" w:rsidRDefault="00E430AC" w:rsidP="00E430AC">
            <w:pPr>
              <w:pStyle w:val="ListParagraph"/>
              <w:ind w:left="1125"/>
              <w:rPr>
                <w:rFonts w:cstheme="minorHAnsi"/>
                <w:sz w:val="24"/>
                <w:szCs w:val="24"/>
              </w:rPr>
            </w:pPr>
            <w:r w:rsidRPr="000F0220">
              <w:rPr>
                <w:rFonts w:cstheme="minorHAnsi"/>
                <w:sz w:val="24"/>
                <w:szCs w:val="24"/>
                <w:highlight w:val="yellow"/>
              </w:rPr>
              <w:t>Vote 1st Grace, 2</w:t>
            </w:r>
            <w:r w:rsidRPr="000F0220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nd</w:t>
            </w:r>
            <w:r w:rsidRPr="000F0220">
              <w:rPr>
                <w:rFonts w:cstheme="minorHAnsi"/>
                <w:sz w:val="24"/>
                <w:szCs w:val="24"/>
                <w:highlight w:val="yellow"/>
              </w:rPr>
              <w:t xml:space="preserve"> Kalina that B &amp; C will be </w:t>
            </w:r>
            <w:r w:rsidR="000F0220" w:rsidRPr="000F0220">
              <w:rPr>
                <w:rFonts w:cstheme="minorHAnsi"/>
                <w:sz w:val="24"/>
                <w:szCs w:val="24"/>
                <w:highlight w:val="yellow"/>
              </w:rPr>
              <w:t>tabled:</w:t>
            </w:r>
            <w:r w:rsidRPr="000F0220">
              <w:rPr>
                <w:rFonts w:cstheme="minorHAnsi"/>
                <w:sz w:val="24"/>
                <w:szCs w:val="24"/>
                <w:highlight w:val="yellow"/>
              </w:rPr>
              <w:t xml:space="preserve"> unanimously approved</w:t>
            </w:r>
            <w:r w:rsidRPr="000F0220">
              <w:rPr>
                <w:rFonts w:cstheme="minorHAnsi"/>
                <w:sz w:val="24"/>
                <w:szCs w:val="24"/>
              </w:rPr>
              <w:t>.</w:t>
            </w:r>
          </w:p>
          <w:p w14:paraId="43AFE1C8" w14:textId="1BDB2553" w:rsidR="00102468" w:rsidRPr="002F3453" w:rsidRDefault="00102468" w:rsidP="00102468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60AD1092" w:rsidR="00877ED7" w:rsidRDefault="000F0220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RSI Review</w:t>
            </w:r>
            <w:r w:rsidR="00E430AC">
              <w:rPr>
                <w:rFonts w:cstheme="minorHAnsi"/>
                <w:sz w:val="24"/>
                <w:szCs w:val="24"/>
              </w:rPr>
              <w:t>: see chairs</w:t>
            </w:r>
            <w:r w:rsidR="00E815C0">
              <w:rPr>
                <w:rFonts w:cstheme="minorHAnsi"/>
                <w:sz w:val="24"/>
                <w:szCs w:val="24"/>
              </w:rPr>
              <w:t>’</w:t>
            </w:r>
            <w:r w:rsidR="00E430AC">
              <w:rPr>
                <w:rFonts w:cstheme="minorHAnsi"/>
                <w:sz w:val="24"/>
                <w:szCs w:val="24"/>
              </w:rPr>
              <w:t xml:space="preserve"> report above</w:t>
            </w:r>
          </w:p>
          <w:p w14:paraId="0DCA7E1C" w14:textId="79DE1D8B" w:rsidR="00982FF4" w:rsidRPr="003403A4" w:rsidRDefault="00982FF4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Meeting adjourned 4:30 pm</w:t>
            </w: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1DB5404" w14:textId="77777777" w:rsidR="003C12B5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10.28.2025</w:t>
            </w:r>
          </w:p>
          <w:p w14:paraId="06D90D5C" w14:textId="1EFBB379" w:rsidR="00F25C67" w:rsidRPr="00F5547C" w:rsidRDefault="00F25C67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17858848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4EB2"/>
    <w:rsid w:val="0000505C"/>
    <w:rsid w:val="00013732"/>
    <w:rsid w:val="00016554"/>
    <w:rsid w:val="0003276B"/>
    <w:rsid w:val="00037DC5"/>
    <w:rsid w:val="00041B16"/>
    <w:rsid w:val="00042A8B"/>
    <w:rsid w:val="000433CC"/>
    <w:rsid w:val="00043471"/>
    <w:rsid w:val="00055B87"/>
    <w:rsid w:val="00060298"/>
    <w:rsid w:val="00065083"/>
    <w:rsid w:val="00066284"/>
    <w:rsid w:val="0006751E"/>
    <w:rsid w:val="000704C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27F7"/>
    <w:rsid w:val="000B3C82"/>
    <w:rsid w:val="000B4D5B"/>
    <w:rsid w:val="000B5C83"/>
    <w:rsid w:val="000D1154"/>
    <w:rsid w:val="000D18E1"/>
    <w:rsid w:val="000D355F"/>
    <w:rsid w:val="000D465B"/>
    <w:rsid w:val="000D60EF"/>
    <w:rsid w:val="000D6D00"/>
    <w:rsid w:val="000F0220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03564"/>
    <w:rsid w:val="0021389A"/>
    <w:rsid w:val="00221BBF"/>
    <w:rsid w:val="00221E65"/>
    <w:rsid w:val="002326AC"/>
    <w:rsid w:val="002440C5"/>
    <w:rsid w:val="002464EC"/>
    <w:rsid w:val="00247537"/>
    <w:rsid w:val="00247832"/>
    <w:rsid w:val="00265939"/>
    <w:rsid w:val="00267539"/>
    <w:rsid w:val="00293509"/>
    <w:rsid w:val="002A7CCA"/>
    <w:rsid w:val="002B320E"/>
    <w:rsid w:val="002B3225"/>
    <w:rsid w:val="002B54E8"/>
    <w:rsid w:val="002C310F"/>
    <w:rsid w:val="002D1ECE"/>
    <w:rsid w:val="002D33BB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62EA"/>
    <w:rsid w:val="00337D83"/>
    <w:rsid w:val="003403A4"/>
    <w:rsid w:val="003441B5"/>
    <w:rsid w:val="003559F2"/>
    <w:rsid w:val="00356D5F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36D34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CA9"/>
    <w:rsid w:val="004D7019"/>
    <w:rsid w:val="004E0A6D"/>
    <w:rsid w:val="004F1325"/>
    <w:rsid w:val="00515CB4"/>
    <w:rsid w:val="00526210"/>
    <w:rsid w:val="00530F59"/>
    <w:rsid w:val="00534DC4"/>
    <w:rsid w:val="00541F9D"/>
    <w:rsid w:val="00543150"/>
    <w:rsid w:val="00543D31"/>
    <w:rsid w:val="00554F40"/>
    <w:rsid w:val="005574B9"/>
    <w:rsid w:val="00561363"/>
    <w:rsid w:val="00565278"/>
    <w:rsid w:val="00567675"/>
    <w:rsid w:val="00571180"/>
    <w:rsid w:val="0057462C"/>
    <w:rsid w:val="005865A2"/>
    <w:rsid w:val="00586C75"/>
    <w:rsid w:val="005A69E6"/>
    <w:rsid w:val="005A7E0B"/>
    <w:rsid w:val="005D2814"/>
    <w:rsid w:val="005D74DE"/>
    <w:rsid w:val="005D7FAF"/>
    <w:rsid w:val="005E3A24"/>
    <w:rsid w:val="005F593D"/>
    <w:rsid w:val="006021F2"/>
    <w:rsid w:val="006176DC"/>
    <w:rsid w:val="0062079D"/>
    <w:rsid w:val="0062697A"/>
    <w:rsid w:val="00634DB3"/>
    <w:rsid w:val="00637D7D"/>
    <w:rsid w:val="0065130F"/>
    <w:rsid w:val="0065721A"/>
    <w:rsid w:val="00660C2F"/>
    <w:rsid w:val="00664E96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722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70A43"/>
    <w:rsid w:val="0077185F"/>
    <w:rsid w:val="00787B7E"/>
    <w:rsid w:val="007904D8"/>
    <w:rsid w:val="007A7F33"/>
    <w:rsid w:val="007B2F12"/>
    <w:rsid w:val="007C5876"/>
    <w:rsid w:val="007D772B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D13BB"/>
    <w:rsid w:val="008D59FF"/>
    <w:rsid w:val="008F6A52"/>
    <w:rsid w:val="008F742C"/>
    <w:rsid w:val="00906172"/>
    <w:rsid w:val="0092159E"/>
    <w:rsid w:val="00927893"/>
    <w:rsid w:val="0094266F"/>
    <w:rsid w:val="00942C46"/>
    <w:rsid w:val="00944730"/>
    <w:rsid w:val="0094676D"/>
    <w:rsid w:val="009563B7"/>
    <w:rsid w:val="00962F14"/>
    <w:rsid w:val="00967EFA"/>
    <w:rsid w:val="009743BE"/>
    <w:rsid w:val="0098137A"/>
    <w:rsid w:val="00982FF4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05BD2"/>
    <w:rsid w:val="00B07770"/>
    <w:rsid w:val="00B2186D"/>
    <w:rsid w:val="00B313C5"/>
    <w:rsid w:val="00B43659"/>
    <w:rsid w:val="00B46388"/>
    <w:rsid w:val="00B51AF8"/>
    <w:rsid w:val="00B5760B"/>
    <w:rsid w:val="00B67E64"/>
    <w:rsid w:val="00B7072E"/>
    <w:rsid w:val="00B716D3"/>
    <w:rsid w:val="00B85485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23C5B"/>
    <w:rsid w:val="00C4175D"/>
    <w:rsid w:val="00C422E7"/>
    <w:rsid w:val="00C45DC8"/>
    <w:rsid w:val="00C56187"/>
    <w:rsid w:val="00C6507C"/>
    <w:rsid w:val="00C74683"/>
    <w:rsid w:val="00C854D1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CE60B3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4C21"/>
    <w:rsid w:val="00D679E6"/>
    <w:rsid w:val="00D84AB9"/>
    <w:rsid w:val="00D8632C"/>
    <w:rsid w:val="00D8731D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61C8"/>
    <w:rsid w:val="00E37046"/>
    <w:rsid w:val="00E37E31"/>
    <w:rsid w:val="00E40647"/>
    <w:rsid w:val="00E407A4"/>
    <w:rsid w:val="00E430AC"/>
    <w:rsid w:val="00E44AC8"/>
    <w:rsid w:val="00E52A6A"/>
    <w:rsid w:val="00E623B8"/>
    <w:rsid w:val="00E6484B"/>
    <w:rsid w:val="00E64A24"/>
    <w:rsid w:val="00E67988"/>
    <w:rsid w:val="00E815C0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4C8"/>
    <w:rsid w:val="00EF0629"/>
    <w:rsid w:val="00EF5E08"/>
    <w:rsid w:val="00F14A42"/>
    <w:rsid w:val="00F16A04"/>
    <w:rsid w:val="00F25C67"/>
    <w:rsid w:val="00F25F9B"/>
    <w:rsid w:val="00F277E1"/>
    <w:rsid w:val="00F33DA4"/>
    <w:rsid w:val="00F35EA6"/>
    <w:rsid w:val="00F37986"/>
    <w:rsid w:val="00F434E8"/>
    <w:rsid w:val="00F43E17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E06AF"/>
    <w:rsid w:val="00FF2FBC"/>
    <w:rsid w:val="100B2FAC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Kimberly Nickell</cp:lastModifiedBy>
  <cp:revision>4</cp:revision>
  <cp:lastPrinted>2025-10-07T20:23:00Z</cp:lastPrinted>
  <dcterms:created xsi:type="dcterms:W3CDTF">2026-01-28T19:34:00Z</dcterms:created>
  <dcterms:modified xsi:type="dcterms:W3CDTF">2026-01-28T19:38:00Z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  <property fmtid="{D5CDD505-2E9C-101B-9397-08002B2CF9AE}" pid="4" name="GrammarlyDocumentId">
    <vt:lpwstr>56a9559d-26ea-4790-a488-c44555f7cbb5</vt:lpwstr>
  </property>
</Properties>
</file>