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74" w:type="dxa"/>
        <w:tblInd w:w="-342" w:type="dxa"/>
        <w:tblLook w:val="04A0" w:firstRow="1" w:lastRow="0" w:firstColumn="1" w:lastColumn="0" w:noHBand="0" w:noVBand="1"/>
      </w:tblPr>
      <w:tblGrid>
        <w:gridCol w:w="328"/>
        <w:gridCol w:w="9145"/>
        <w:gridCol w:w="1001"/>
      </w:tblGrid>
      <w:tr w:rsidR="00C82829" w:rsidRPr="00E3013D" w:rsidTr="00C82829">
        <w:trPr>
          <w:trHeight w:val="1142"/>
        </w:trPr>
        <w:tc>
          <w:tcPr>
            <w:tcW w:w="10474" w:type="dxa"/>
            <w:gridSpan w:val="3"/>
            <w:shd w:val="clear" w:color="auto" w:fill="E5B8B7" w:themeFill="accent2" w:themeFillTint="66"/>
            <w:vAlign w:val="center"/>
          </w:tcPr>
          <w:p w:rsidR="00C82829" w:rsidRPr="00E65219" w:rsidRDefault="00C82829" w:rsidP="00C8282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C82829" w:rsidRPr="00E3013D" w:rsidRDefault="00C82829" w:rsidP="00C82829">
            <w:pPr>
              <w:spacing w:before="60" w:after="60"/>
              <w:jc w:val="center"/>
            </w:pPr>
            <w:hyperlink r:id="rId6" w:history="1">
              <w:r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C82829" w:rsidRDefault="00C82829" w:rsidP="00C82829">
            <w:pPr>
              <w:spacing w:before="60" w:after="60"/>
              <w:jc w:val="center"/>
            </w:pPr>
            <w:r>
              <w:t>AGENDA</w:t>
            </w:r>
          </w:p>
          <w:p w:rsidR="00C82829" w:rsidRPr="00E3013D" w:rsidRDefault="00C82829" w:rsidP="00C82829">
            <w:pPr>
              <w:spacing w:before="60" w:after="60"/>
              <w:jc w:val="center"/>
            </w:pPr>
            <w:r>
              <w:t xml:space="preserve">Tuesday, 3:30-5:00, </w:t>
            </w:r>
            <w:r>
              <w:t>May 10</w:t>
            </w:r>
            <w:r>
              <w:t>, 2016</w:t>
            </w:r>
          </w:p>
        </w:tc>
      </w:tr>
      <w:tr w:rsidR="00C82829" w:rsidRPr="00E65219" w:rsidTr="00C82829">
        <w:tc>
          <w:tcPr>
            <w:tcW w:w="238" w:type="dxa"/>
          </w:tcPr>
          <w:p w:rsidR="00C82829" w:rsidRPr="00E65219" w:rsidRDefault="00C82829" w:rsidP="00C82829">
            <w:pPr>
              <w:spacing w:before="60" w:after="60"/>
              <w:jc w:val="right"/>
            </w:pPr>
            <w:r>
              <w:t>1</w:t>
            </w:r>
          </w:p>
        </w:tc>
        <w:tc>
          <w:tcPr>
            <w:tcW w:w="9235" w:type="dxa"/>
            <w:vAlign w:val="center"/>
          </w:tcPr>
          <w:p w:rsidR="00C82829" w:rsidRDefault="00C82829" w:rsidP="00C82829">
            <w:pPr>
              <w:spacing w:before="60" w:after="60"/>
            </w:pPr>
            <w:r>
              <w:t xml:space="preserve">Membership:  </w:t>
            </w:r>
            <w:r w:rsidRPr="00E65219">
              <w:t>Kate Pluta</w:t>
            </w:r>
            <w:r>
              <w:t xml:space="preserve"> (Admin Chair)</w:t>
            </w:r>
            <w:r w:rsidRPr="00E65219">
              <w:t xml:space="preserve">, </w:t>
            </w:r>
            <w:r>
              <w:t>Mark Staller (Faculty Chair)</w:t>
            </w:r>
            <w:r w:rsidRPr="00E65219">
              <w:t xml:space="preserve"> </w:t>
            </w:r>
            <w:r>
              <w:t>Khaled Hussain</w:t>
            </w:r>
            <w:r w:rsidRPr="00E65219">
              <w:t xml:space="preserve">, Anthony Culpepper, Liz Rozell, Todd Coston, Lisa Fitzgerald, David Neville, Kimberly Nickell, </w:t>
            </w:r>
            <w:r>
              <w:t>Grace Commiso</w:t>
            </w:r>
            <w:r w:rsidRPr="00E65219">
              <w:t>, Jennifer Jett, Shannon Musser</w:t>
            </w:r>
            <w:r>
              <w:t>, Sondra Keckley, Manuel Zavala, Odella Johnson</w:t>
            </w:r>
          </w:p>
          <w:p w:rsidR="00C82829" w:rsidRPr="00D70FC2" w:rsidRDefault="00C82829" w:rsidP="00C82829">
            <w:pPr>
              <w:spacing w:before="60" w:after="60"/>
              <w:rPr>
                <w:i/>
              </w:rPr>
            </w:pPr>
            <w:r>
              <w:rPr>
                <w:i/>
              </w:rPr>
              <w:t>Vacancies:  faculty2</w:t>
            </w:r>
            <w:r w:rsidRPr="00D70FC2">
              <w:rPr>
                <w:i/>
              </w:rPr>
              <w:t>, classified 3, students 1</w:t>
            </w:r>
          </w:p>
          <w:p w:rsidR="00C82829" w:rsidRDefault="00C82829" w:rsidP="00C82829">
            <w:pPr>
              <w:spacing w:before="60" w:after="60"/>
            </w:pPr>
            <w:r>
              <w:t>Present:</w:t>
            </w:r>
          </w:p>
          <w:p w:rsidR="00C82829" w:rsidRPr="007F3CCA" w:rsidRDefault="00C82829" w:rsidP="00C82829">
            <w:pPr>
              <w:spacing w:before="60" w:after="60"/>
              <w:rPr>
                <w:i/>
                <w:color w:val="C00000"/>
              </w:rPr>
            </w:pPr>
            <w:r>
              <w:t>Missing:</w:t>
            </w:r>
          </w:p>
        </w:tc>
        <w:tc>
          <w:tcPr>
            <w:tcW w:w="1001" w:type="dxa"/>
          </w:tcPr>
          <w:p w:rsidR="00C82829" w:rsidRPr="00E65219" w:rsidRDefault="00C82829" w:rsidP="00C82829">
            <w:pPr>
              <w:spacing w:before="60" w:after="60"/>
              <w:jc w:val="center"/>
            </w:pPr>
          </w:p>
        </w:tc>
      </w:tr>
      <w:tr w:rsidR="00C82829" w:rsidRPr="00E65219" w:rsidTr="00C82829">
        <w:tc>
          <w:tcPr>
            <w:tcW w:w="238" w:type="dxa"/>
          </w:tcPr>
          <w:p w:rsidR="00C82829" w:rsidRPr="00E65219" w:rsidRDefault="00C82829" w:rsidP="00C82829">
            <w:pPr>
              <w:spacing w:before="60" w:after="60"/>
              <w:jc w:val="right"/>
            </w:pPr>
            <w:r>
              <w:t>2</w:t>
            </w:r>
          </w:p>
        </w:tc>
        <w:tc>
          <w:tcPr>
            <w:tcW w:w="10236" w:type="dxa"/>
            <w:gridSpan w:val="2"/>
            <w:vAlign w:val="center"/>
          </w:tcPr>
          <w:p w:rsidR="00C82829" w:rsidRDefault="00C82829" w:rsidP="00C82829">
            <w:pPr>
              <w:spacing w:before="60" w:after="60"/>
            </w:pPr>
            <w:r>
              <w:t xml:space="preserve">November 24 Minutes (Nan); </w:t>
            </w:r>
            <w:r>
              <w:t>April 26 (Sondra)</w:t>
            </w:r>
          </w:p>
          <w:p w:rsidR="00C82829" w:rsidRDefault="00C82829" w:rsidP="00C82829">
            <w:pPr>
              <w:spacing w:before="60" w:after="60"/>
            </w:pPr>
            <w:r>
              <w:t>Today</w:t>
            </w:r>
            <w:r w:rsidRPr="00E65219">
              <w:t xml:space="preserve">’s Note Taker?  </w:t>
            </w:r>
          </w:p>
          <w:p w:rsidR="00C82829" w:rsidRPr="00E65219" w:rsidRDefault="00C82829" w:rsidP="00C82829">
            <w:pPr>
              <w:spacing w:before="60" w:after="60"/>
            </w:pPr>
            <w:r>
              <w:t xml:space="preserve">Treats:  </w:t>
            </w:r>
            <w:r>
              <w:t>Khaled</w:t>
            </w:r>
          </w:p>
        </w:tc>
      </w:tr>
      <w:tr w:rsidR="00C82829" w:rsidRPr="00E65219" w:rsidTr="00C82829">
        <w:tc>
          <w:tcPr>
            <w:tcW w:w="238" w:type="dxa"/>
          </w:tcPr>
          <w:p w:rsidR="00C82829" w:rsidRDefault="00C82829" w:rsidP="00C82829">
            <w:pPr>
              <w:spacing w:before="60" w:after="60"/>
              <w:jc w:val="right"/>
            </w:pPr>
            <w:r>
              <w:t>3</w:t>
            </w:r>
          </w:p>
        </w:tc>
        <w:tc>
          <w:tcPr>
            <w:tcW w:w="9235" w:type="dxa"/>
            <w:vAlign w:val="center"/>
          </w:tcPr>
          <w:p w:rsidR="00C82829" w:rsidRPr="006D0AB6" w:rsidRDefault="00C82829" w:rsidP="00C82829">
            <w:pPr>
              <w:spacing w:before="60" w:after="60"/>
            </w:pPr>
            <w:r w:rsidRPr="00E14AF8">
              <w:rPr>
                <w:b/>
              </w:rPr>
              <w:t>ACCJC updates</w:t>
            </w:r>
            <w:r w:rsidRPr="006D0AB6">
              <w:t>—</w:t>
            </w:r>
          </w:p>
        </w:tc>
        <w:tc>
          <w:tcPr>
            <w:tcW w:w="1001" w:type="dxa"/>
            <w:vAlign w:val="center"/>
          </w:tcPr>
          <w:p w:rsidR="00C82829" w:rsidRDefault="00C82829" w:rsidP="00C82829">
            <w:pPr>
              <w:spacing w:before="60" w:after="60"/>
              <w:jc w:val="center"/>
            </w:pPr>
            <w:r>
              <w:t>Kate</w:t>
            </w:r>
          </w:p>
        </w:tc>
      </w:tr>
      <w:tr w:rsidR="00C82829" w:rsidRPr="00E65219" w:rsidTr="00C82829">
        <w:tc>
          <w:tcPr>
            <w:tcW w:w="238" w:type="dxa"/>
          </w:tcPr>
          <w:p w:rsidR="00C82829" w:rsidRDefault="00C82829" w:rsidP="00C82829">
            <w:pPr>
              <w:spacing w:before="60" w:after="60"/>
              <w:jc w:val="right"/>
            </w:pPr>
            <w:r>
              <w:t>4</w:t>
            </w:r>
          </w:p>
        </w:tc>
        <w:tc>
          <w:tcPr>
            <w:tcW w:w="9235" w:type="dxa"/>
            <w:vAlign w:val="center"/>
          </w:tcPr>
          <w:p w:rsidR="00C82829" w:rsidRPr="00E14AF8" w:rsidRDefault="00C82829" w:rsidP="00C82829">
            <w:pPr>
              <w:spacing w:before="60" w:after="60"/>
              <w:rPr>
                <w:b/>
              </w:rPr>
            </w:pPr>
            <w:r w:rsidRPr="00E14AF8">
              <w:rPr>
                <w:b/>
              </w:rPr>
              <w:t>Strategic Directions Report</w:t>
            </w:r>
            <w:r>
              <w:rPr>
                <w:b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C82829" w:rsidRDefault="00C82829" w:rsidP="00C82829">
            <w:pPr>
              <w:spacing w:before="60" w:after="60"/>
              <w:jc w:val="center"/>
            </w:pPr>
            <w:r>
              <w:t>Shannon</w:t>
            </w:r>
          </w:p>
          <w:p w:rsidR="00C82829" w:rsidRDefault="00C82829" w:rsidP="00C82829">
            <w:pPr>
              <w:spacing w:before="60" w:after="60"/>
              <w:jc w:val="center"/>
            </w:pPr>
            <w:r>
              <w:t xml:space="preserve">All </w:t>
            </w:r>
          </w:p>
        </w:tc>
      </w:tr>
      <w:tr w:rsidR="00C82829" w:rsidRPr="00E65219" w:rsidTr="00C82829">
        <w:tc>
          <w:tcPr>
            <w:tcW w:w="238" w:type="dxa"/>
          </w:tcPr>
          <w:p w:rsidR="00C82829" w:rsidRPr="00E65219" w:rsidRDefault="00C82829" w:rsidP="00C82829">
            <w:pPr>
              <w:spacing w:before="60" w:after="60"/>
              <w:jc w:val="right"/>
            </w:pPr>
            <w:r>
              <w:t>5</w:t>
            </w:r>
          </w:p>
        </w:tc>
        <w:tc>
          <w:tcPr>
            <w:tcW w:w="9235" w:type="dxa"/>
            <w:vAlign w:val="center"/>
          </w:tcPr>
          <w:p w:rsidR="00C82829" w:rsidRDefault="00C82829" w:rsidP="00C82829">
            <w:pPr>
              <w:spacing w:before="60" w:after="60"/>
            </w:pPr>
            <w:r w:rsidRPr="0085530E">
              <w:rPr>
                <w:b/>
              </w:rPr>
              <w:t>Surveys</w:t>
            </w:r>
            <w:r>
              <w:t xml:space="preserve">  BC services to employees</w:t>
            </w:r>
          </w:p>
          <w:p w:rsidR="00C82829" w:rsidRDefault="00C82829" w:rsidP="00C82829">
            <w:pPr>
              <w:spacing w:before="60" w:after="60"/>
            </w:pPr>
            <w:r>
              <w:t>How/where do we post?</w:t>
            </w:r>
          </w:p>
          <w:p w:rsidR="00C82829" w:rsidRDefault="00C82829" w:rsidP="00C82829">
            <w:pPr>
              <w:spacing w:before="60" w:after="60"/>
            </w:pPr>
            <w:r>
              <w:t>How/when do we share?</w:t>
            </w:r>
          </w:p>
          <w:p w:rsidR="00C82829" w:rsidRPr="00E65219" w:rsidRDefault="00C82829" w:rsidP="00C82829">
            <w:pPr>
              <w:spacing w:before="60" w:after="60"/>
            </w:pPr>
          </w:p>
        </w:tc>
        <w:tc>
          <w:tcPr>
            <w:tcW w:w="1001" w:type="dxa"/>
          </w:tcPr>
          <w:p w:rsidR="00C82829" w:rsidRDefault="00C82829" w:rsidP="00C82829">
            <w:pPr>
              <w:spacing w:before="60" w:after="60"/>
              <w:jc w:val="center"/>
            </w:pPr>
            <w:r>
              <w:t>Kate</w:t>
            </w:r>
          </w:p>
          <w:p w:rsidR="00C82829" w:rsidRPr="00E65219" w:rsidRDefault="00C82829" w:rsidP="00C82829">
            <w:pPr>
              <w:spacing w:before="60" w:after="60"/>
              <w:jc w:val="center"/>
            </w:pPr>
            <w:r>
              <w:t xml:space="preserve">All </w:t>
            </w:r>
          </w:p>
        </w:tc>
      </w:tr>
      <w:tr w:rsidR="00C82829" w:rsidRPr="00E65219" w:rsidTr="00C82829">
        <w:tc>
          <w:tcPr>
            <w:tcW w:w="238" w:type="dxa"/>
          </w:tcPr>
          <w:p w:rsidR="00C82829" w:rsidRDefault="00C82829" w:rsidP="00C82829">
            <w:pPr>
              <w:spacing w:before="60" w:after="60"/>
              <w:jc w:val="right"/>
            </w:pPr>
          </w:p>
        </w:tc>
        <w:tc>
          <w:tcPr>
            <w:tcW w:w="9235" w:type="dxa"/>
            <w:vAlign w:val="center"/>
          </w:tcPr>
          <w:p w:rsidR="00C82829" w:rsidRPr="002D230B" w:rsidRDefault="00C82829" w:rsidP="00C82829">
            <w:pPr>
              <w:spacing w:before="60" w:after="60"/>
              <w:rPr>
                <w:b/>
              </w:rPr>
            </w:pPr>
            <w:r w:rsidRPr="002D230B">
              <w:rPr>
                <w:b/>
              </w:rPr>
              <w:t>Calendar for Strategic Directions</w:t>
            </w:r>
            <w:r>
              <w:rPr>
                <w:b/>
              </w:rPr>
              <w:t>:</w:t>
            </w:r>
          </w:p>
          <w:p w:rsidR="00C82829" w:rsidRDefault="00C82829" w:rsidP="00C82829">
            <w:pPr>
              <w:spacing w:before="60" w:after="60"/>
            </w:pPr>
            <w:r>
              <w:t>Next year’s meetings</w:t>
            </w:r>
          </w:p>
        </w:tc>
        <w:tc>
          <w:tcPr>
            <w:tcW w:w="1001" w:type="dxa"/>
          </w:tcPr>
          <w:p w:rsidR="00C82829" w:rsidRPr="00E65219" w:rsidRDefault="00C82829" w:rsidP="00C82829">
            <w:pPr>
              <w:spacing w:before="60" w:after="60"/>
              <w:jc w:val="center"/>
            </w:pPr>
            <w:bookmarkStart w:id="0" w:name="_GoBack"/>
            <w:bookmarkEnd w:id="0"/>
          </w:p>
        </w:tc>
      </w:tr>
      <w:tr w:rsidR="00C82829" w:rsidRPr="00E65219" w:rsidTr="00C82829">
        <w:tc>
          <w:tcPr>
            <w:tcW w:w="238" w:type="dxa"/>
          </w:tcPr>
          <w:p w:rsidR="00C82829" w:rsidRDefault="00C82829" w:rsidP="00C82829">
            <w:pPr>
              <w:spacing w:before="60" w:after="60"/>
              <w:jc w:val="right"/>
            </w:pPr>
          </w:p>
        </w:tc>
        <w:tc>
          <w:tcPr>
            <w:tcW w:w="9235" w:type="dxa"/>
            <w:vAlign w:val="center"/>
          </w:tcPr>
          <w:p w:rsidR="00C82829" w:rsidRPr="00E451EA" w:rsidRDefault="00C82829" w:rsidP="00C82829">
            <w:pPr>
              <w:spacing w:before="60" w:after="60"/>
              <w:rPr>
                <w:strike/>
              </w:rPr>
            </w:pPr>
          </w:p>
        </w:tc>
        <w:tc>
          <w:tcPr>
            <w:tcW w:w="1001" w:type="dxa"/>
          </w:tcPr>
          <w:p w:rsidR="00C82829" w:rsidRPr="00E65219" w:rsidRDefault="00C82829" w:rsidP="00C82829">
            <w:pPr>
              <w:spacing w:before="60" w:after="60"/>
              <w:jc w:val="center"/>
            </w:pPr>
          </w:p>
        </w:tc>
      </w:tr>
      <w:tr w:rsidR="00C82829" w:rsidRPr="00E65219" w:rsidTr="00C82829">
        <w:tc>
          <w:tcPr>
            <w:tcW w:w="238" w:type="dxa"/>
          </w:tcPr>
          <w:p w:rsidR="00C82829" w:rsidRDefault="00C82829" w:rsidP="00C82829">
            <w:pPr>
              <w:spacing w:before="60" w:after="60"/>
              <w:jc w:val="right"/>
            </w:pPr>
          </w:p>
        </w:tc>
        <w:tc>
          <w:tcPr>
            <w:tcW w:w="9235" w:type="dxa"/>
            <w:vAlign w:val="center"/>
          </w:tcPr>
          <w:p w:rsidR="00C82829" w:rsidRPr="0085530E" w:rsidRDefault="00C82829" w:rsidP="00C82829">
            <w:pPr>
              <w:spacing w:before="60" w:after="60"/>
              <w:rPr>
                <w:i/>
              </w:rPr>
            </w:pPr>
            <w:r w:rsidRPr="0085530E">
              <w:rPr>
                <w:i/>
              </w:rPr>
              <w:t>May 10  Khaled</w:t>
            </w:r>
          </w:p>
        </w:tc>
        <w:tc>
          <w:tcPr>
            <w:tcW w:w="1001" w:type="dxa"/>
          </w:tcPr>
          <w:p w:rsidR="00C82829" w:rsidRPr="00E65219" w:rsidRDefault="00C82829" w:rsidP="00C82829">
            <w:pPr>
              <w:spacing w:before="60" w:after="60"/>
              <w:jc w:val="center"/>
            </w:pPr>
          </w:p>
        </w:tc>
      </w:tr>
    </w:tbl>
    <w:p w:rsidR="00C82829" w:rsidRDefault="00C82829" w:rsidP="00C82829">
      <w:pPr>
        <w:spacing w:before="60" w:after="60"/>
      </w:pPr>
    </w:p>
    <w:p w:rsidR="00C82829" w:rsidRDefault="00C82829" w:rsidP="00C82829"/>
    <w:p w:rsidR="00C82829" w:rsidRDefault="00C82829" w:rsidP="00C82829"/>
    <w:p w:rsidR="00F43653" w:rsidRDefault="00F43653"/>
    <w:sectPr w:rsidR="00F43653" w:rsidSect="00C82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1605"/>
    <w:multiLevelType w:val="hybridMultilevel"/>
    <w:tmpl w:val="CFE4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29"/>
    <w:rsid w:val="008974E0"/>
    <w:rsid w:val="00C82829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28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28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accredi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1</cp:revision>
  <dcterms:created xsi:type="dcterms:W3CDTF">2016-05-09T14:43:00Z</dcterms:created>
  <dcterms:modified xsi:type="dcterms:W3CDTF">2016-05-09T14:50:00Z</dcterms:modified>
</cp:coreProperties>
</file>